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5F19" w14:textId="77777777" w:rsidR="00366115" w:rsidRPr="00D15686" w:rsidRDefault="00366115" w:rsidP="00366115">
      <w:pPr>
        <w:spacing w:after="0"/>
        <w:jc w:val="center"/>
        <w:rPr>
          <w:rFonts w:asciiTheme="minorHAnsi" w:hAnsiTheme="minorHAnsi" w:cstheme="minorHAnsi"/>
          <w:b/>
          <w:bCs/>
          <w:lang w:val="el-GR"/>
        </w:rPr>
      </w:pPr>
      <w:bookmarkStart w:id="0" w:name="_Hlk167397223"/>
      <w:r w:rsidRPr="00D15686">
        <w:rPr>
          <w:rFonts w:asciiTheme="minorHAnsi" w:hAnsiTheme="minorHAnsi" w:cstheme="minorHAnsi"/>
          <w:b/>
          <w:bCs/>
          <w:lang w:val="el-GR"/>
        </w:rPr>
        <w:t>Οικονομική προσφορά</w:t>
      </w:r>
    </w:p>
    <w:p w14:paraId="58B41D91" w14:textId="77777777" w:rsidR="00366115" w:rsidRPr="00D15686" w:rsidRDefault="00366115" w:rsidP="00366115">
      <w:pPr>
        <w:rPr>
          <w:rFonts w:asciiTheme="minorHAnsi" w:hAnsiTheme="minorHAnsi" w:cstheme="minorHAnsi"/>
          <w:b/>
          <w:bCs/>
          <w:lang w:val="el-GR"/>
        </w:rPr>
      </w:pPr>
      <w:r w:rsidRPr="00D15686">
        <w:rPr>
          <w:rFonts w:asciiTheme="minorHAnsi" w:hAnsiTheme="minorHAnsi" w:cstheme="minorHAnsi"/>
          <w:b/>
          <w:bCs/>
          <w:lang w:val="el-GR"/>
        </w:rPr>
        <w:t xml:space="preserve">ανοικτού ηλεκτρονικού, κάτω των ορίων,  διαγωνισμού σύναψης συμβάσης για την </w:t>
      </w:r>
      <w:r w:rsidRPr="00186EA5">
        <w:rPr>
          <w:rFonts w:asciiTheme="minorHAnsi" w:hAnsiTheme="minorHAnsi" w:cstheme="minorHAnsi"/>
          <w:b/>
          <w:bCs/>
          <w:lang w:val="el-GR"/>
        </w:rPr>
        <w:t>Ενίσχυση δημόσιων υποδομών έρευνας και καινοτομίας στο Τμήμα Μηχανικών Παραγωγής και Διοίκησης του Διεθνούς Πανεπιστημίου της Ελλάδος (πρώην Τμήμα Μηχανολόγων Οχημάτων ΑΤΕΙ Θεσσαλονίκης)</w:t>
      </w:r>
      <w:r>
        <w:rPr>
          <w:rFonts w:asciiTheme="minorHAnsi" w:hAnsiTheme="minorHAnsi" w:cstheme="minorHAnsi"/>
          <w:b/>
          <w:bCs/>
          <w:lang w:val="el-GR"/>
        </w:rPr>
        <w:t>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4"/>
        <w:gridCol w:w="6312"/>
      </w:tblGrid>
      <w:tr w:rsidR="00366115" w:rsidRPr="00D15686" w14:paraId="23950BAC" w14:textId="77777777" w:rsidTr="005E31EC">
        <w:tc>
          <w:tcPr>
            <w:tcW w:w="2073" w:type="dxa"/>
          </w:tcPr>
          <w:p w14:paraId="10DF3B90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ΕΠΩΝΥΜΙΑ</w:t>
            </w:r>
          </w:p>
        </w:tc>
        <w:tc>
          <w:tcPr>
            <w:tcW w:w="7545" w:type="dxa"/>
          </w:tcPr>
          <w:p w14:paraId="5EFCCEC4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66115" w:rsidRPr="00D15686" w14:paraId="517E05B1" w14:textId="77777777" w:rsidTr="005E31EC">
        <w:tc>
          <w:tcPr>
            <w:tcW w:w="2073" w:type="dxa"/>
          </w:tcPr>
          <w:p w14:paraId="27ED907D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Α.Φ.Μ.</w:t>
            </w:r>
          </w:p>
        </w:tc>
        <w:tc>
          <w:tcPr>
            <w:tcW w:w="7545" w:type="dxa"/>
          </w:tcPr>
          <w:p w14:paraId="5FCCDE6E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66115" w:rsidRPr="00D15686" w14:paraId="33ABA95F" w14:textId="77777777" w:rsidTr="005E31EC">
        <w:tc>
          <w:tcPr>
            <w:tcW w:w="2073" w:type="dxa"/>
          </w:tcPr>
          <w:p w14:paraId="6AAD2812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ΔΙΕΥΘΥΝΣΗ – Τ.Κ.</w:t>
            </w:r>
          </w:p>
        </w:tc>
        <w:tc>
          <w:tcPr>
            <w:tcW w:w="7545" w:type="dxa"/>
          </w:tcPr>
          <w:p w14:paraId="0FE73367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66115" w:rsidRPr="00D15686" w14:paraId="21EB43A8" w14:textId="77777777" w:rsidTr="005E31EC">
        <w:tc>
          <w:tcPr>
            <w:tcW w:w="2073" w:type="dxa"/>
          </w:tcPr>
          <w:p w14:paraId="5B8D68C4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ΑΡΙΘΜΟΣ ΤΗΛΕΦΩΝΟΥ</w:t>
            </w:r>
          </w:p>
        </w:tc>
        <w:tc>
          <w:tcPr>
            <w:tcW w:w="7545" w:type="dxa"/>
          </w:tcPr>
          <w:p w14:paraId="5AF91D70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66115" w:rsidRPr="00D15686" w14:paraId="14086E88" w14:textId="77777777" w:rsidTr="005E31EC">
        <w:tc>
          <w:tcPr>
            <w:tcW w:w="2073" w:type="dxa"/>
          </w:tcPr>
          <w:p w14:paraId="598F4212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  <w:r w:rsidRPr="00D15686">
              <w:rPr>
                <w:rFonts w:asciiTheme="minorHAnsi" w:hAnsiTheme="minorHAnsi" w:cstheme="minorHAnsi"/>
                <w:lang w:val="el-GR"/>
              </w:rPr>
              <w:t>e-</w:t>
            </w:r>
            <w:proofErr w:type="spellStart"/>
            <w:r w:rsidRPr="00D15686">
              <w:rPr>
                <w:rFonts w:asciiTheme="minorHAnsi" w:hAnsiTheme="minorHAnsi" w:cstheme="minorHAnsi"/>
                <w:lang w:val="el-GR"/>
              </w:rPr>
              <w:t>mail</w:t>
            </w:r>
            <w:proofErr w:type="spellEnd"/>
          </w:p>
        </w:tc>
        <w:tc>
          <w:tcPr>
            <w:tcW w:w="7545" w:type="dxa"/>
          </w:tcPr>
          <w:p w14:paraId="67E695A9" w14:textId="77777777" w:rsidR="00366115" w:rsidRPr="00D15686" w:rsidRDefault="00366115" w:rsidP="005E31EC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bookmarkEnd w:id="0"/>
    </w:tbl>
    <w:p w14:paraId="22850DBB" w14:textId="77777777" w:rsidR="00366115" w:rsidRPr="00D15686" w:rsidRDefault="00366115" w:rsidP="00366115">
      <w:pPr>
        <w:rPr>
          <w:rFonts w:asciiTheme="minorHAnsi" w:hAnsiTheme="minorHAnsi" w:cstheme="minorHAnsi"/>
          <w:lang w:val="el-GR"/>
        </w:rPr>
      </w:pPr>
    </w:p>
    <w:p w14:paraId="656C8CDB" w14:textId="77777777" w:rsidR="00366115" w:rsidRPr="00D15686" w:rsidRDefault="00366115" w:rsidP="00366115">
      <w:pPr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D15686">
        <w:rPr>
          <w:rFonts w:asciiTheme="minorHAnsi" w:hAnsiTheme="minorHAnsi" w:cstheme="minorHAnsi"/>
          <w:b/>
          <w:bCs/>
          <w:u w:val="single"/>
          <w:lang w:val="el-GR"/>
        </w:rPr>
        <w:t>Διαγράφονται τα τμήματα στα οποία ο προσφέρων δεν υποβάλει προσφορά</w:t>
      </w:r>
    </w:p>
    <w:p w14:paraId="1064AA2B" w14:textId="77777777" w:rsidR="00366115" w:rsidRPr="00D15686" w:rsidRDefault="00366115" w:rsidP="00366115">
      <w:pPr>
        <w:spacing w:before="57" w:after="57"/>
        <w:rPr>
          <w:rFonts w:asciiTheme="minorHAnsi" w:hAnsiTheme="minorHAnsi" w:cstheme="minorHAnsi"/>
          <w:lang w:val="el-GR"/>
        </w:rPr>
      </w:pPr>
    </w:p>
    <w:tbl>
      <w:tblPr>
        <w:tblW w:w="11294" w:type="dxa"/>
        <w:tblInd w:w="-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787"/>
        <w:gridCol w:w="1948"/>
        <w:gridCol w:w="1122"/>
        <w:gridCol w:w="1089"/>
        <w:gridCol w:w="1458"/>
        <w:gridCol w:w="1761"/>
        <w:gridCol w:w="823"/>
        <w:gridCol w:w="1761"/>
      </w:tblGrid>
      <w:tr w:rsidR="00366115" w:rsidRPr="00366115" w14:paraId="6D6CD027" w14:textId="77777777" w:rsidTr="00366115">
        <w:trPr>
          <w:trHeight w:val="649"/>
        </w:trPr>
        <w:tc>
          <w:tcPr>
            <w:tcW w:w="545" w:type="dxa"/>
            <w:shd w:val="clear" w:color="000000" w:fill="D9D9D9"/>
            <w:vAlign w:val="center"/>
            <w:hideMark/>
          </w:tcPr>
          <w:p w14:paraId="00E0E9B9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Α/Α</w:t>
            </w:r>
          </w:p>
        </w:tc>
        <w:tc>
          <w:tcPr>
            <w:tcW w:w="787" w:type="dxa"/>
            <w:shd w:val="clear" w:color="000000" w:fill="D9D9D9"/>
            <w:vAlign w:val="center"/>
          </w:tcPr>
          <w:p w14:paraId="4F73173A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Τμήμα</w:t>
            </w:r>
          </w:p>
        </w:tc>
        <w:tc>
          <w:tcPr>
            <w:tcW w:w="1948" w:type="dxa"/>
            <w:shd w:val="clear" w:color="000000" w:fill="D9D9D9"/>
            <w:vAlign w:val="center"/>
            <w:hideMark/>
          </w:tcPr>
          <w:p w14:paraId="0D4EEEAE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Περιγραφή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14:paraId="282749A7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Ποσότητα</w:t>
            </w:r>
          </w:p>
        </w:tc>
        <w:tc>
          <w:tcPr>
            <w:tcW w:w="1089" w:type="dxa"/>
            <w:shd w:val="clear" w:color="000000" w:fill="D9D9D9"/>
            <w:vAlign w:val="center"/>
          </w:tcPr>
          <w:p w14:paraId="0641473D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Μονάδα μέτρησης</w:t>
            </w:r>
          </w:p>
        </w:tc>
        <w:tc>
          <w:tcPr>
            <w:tcW w:w="1458" w:type="dxa"/>
            <w:shd w:val="clear" w:color="000000" w:fill="D9D9D9"/>
            <w:vAlign w:val="center"/>
            <w:hideMark/>
          </w:tcPr>
          <w:p w14:paraId="1156B226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Τιμή μονάδας χωρίς Φ.Π.Α</w:t>
            </w:r>
          </w:p>
        </w:tc>
        <w:tc>
          <w:tcPr>
            <w:tcW w:w="1761" w:type="dxa"/>
            <w:shd w:val="clear" w:color="000000" w:fill="D9D9D9"/>
            <w:vAlign w:val="center"/>
            <w:hideMark/>
          </w:tcPr>
          <w:p w14:paraId="45FD1E1E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Συνολικός Προϋπολογισμός χωρίς Φ.Π.Α</w:t>
            </w:r>
          </w:p>
        </w:tc>
        <w:tc>
          <w:tcPr>
            <w:tcW w:w="823" w:type="dxa"/>
            <w:shd w:val="clear" w:color="000000" w:fill="D9D9D9"/>
            <w:vAlign w:val="center"/>
          </w:tcPr>
          <w:p w14:paraId="1A793539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Φ.Π.Α.  24%</w:t>
            </w:r>
          </w:p>
        </w:tc>
        <w:tc>
          <w:tcPr>
            <w:tcW w:w="1761" w:type="dxa"/>
            <w:shd w:val="clear" w:color="000000" w:fill="D9D9D9"/>
            <w:vAlign w:val="center"/>
            <w:hideMark/>
          </w:tcPr>
          <w:p w14:paraId="36FB9AC2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Συνολικός Προϋπολογισμός με Φ.Π.Α</w:t>
            </w:r>
          </w:p>
        </w:tc>
      </w:tr>
      <w:tr w:rsidR="00366115" w:rsidRPr="00D15686" w14:paraId="3DBFFC1D" w14:textId="77777777" w:rsidTr="00366115">
        <w:trPr>
          <w:trHeight w:val="300"/>
        </w:trPr>
        <w:tc>
          <w:tcPr>
            <w:tcW w:w="545" w:type="dxa"/>
            <w:noWrap/>
            <w:vAlign w:val="center"/>
            <w:hideMark/>
          </w:tcPr>
          <w:p w14:paraId="027A538B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787" w:type="dxa"/>
            <w:vAlign w:val="center"/>
          </w:tcPr>
          <w:p w14:paraId="29E3BA36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948" w:type="dxa"/>
            <w:noWrap/>
            <w:vAlign w:val="center"/>
            <w:hideMark/>
          </w:tcPr>
          <w:p w14:paraId="206B84BC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szCs w:val="22"/>
                <w:lang w:val="el-GR"/>
              </w:rPr>
              <w:t>Φορητή συσκευή υπερήχων</w:t>
            </w:r>
          </w:p>
        </w:tc>
        <w:tc>
          <w:tcPr>
            <w:tcW w:w="1122" w:type="dxa"/>
            <w:noWrap/>
            <w:vAlign w:val="center"/>
            <w:hideMark/>
          </w:tcPr>
          <w:p w14:paraId="57CFE5FB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089" w:type="dxa"/>
            <w:vAlign w:val="center"/>
          </w:tcPr>
          <w:p w14:paraId="5DB6A52D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D15686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458" w:type="dxa"/>
            <w:noWrap/>
            <w:vAlign w:val="center"/>
          </w:tcPr>
          <w:p w14:paraId="42EB84C4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60512FBD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23" w:type="dxa"/>
            <w:vAlign w:val="center"/>
          </w:tcPr>
          <w:p w14:paraId="25A14C04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37EDED93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366115" w:rsidRPr="00D15686" w14:paraId="189FBFB4" w14:textId="77777777" w:rsidTr="00366115">
        <w:trPr>
          <w:trHeight w:val="300"/>
        </w:trPr>
        <w:tc>
          <w:tcPr>
            <w:tcW w:w="545" w:type="dxa"/>
            <w:noWrap/>
            <w:vAlign w:val="center"/>
            <w:hideMark/>
          </w:tcPr>
          <w:p w14:paraId="0937CAF7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787" w:type="dxa"/>
            <w:vAlign w:val="center"/>
          </w:tcPr>
          <w:p w14:paraId="3C7224D2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948" w:type="dxa"/>
            <w:noWrap/>
            <w:vAlign w:val="center"/>
            <w:hideMark/>
          </w:tcPr>
          <w:p w14:paraId="01FB63E2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szCs w:val="22"/>
                <w:lang w:val="el-GR"/>
              </w:rPr>
              <w:t xml:space="preserve">Φορητή συσκευή </w:t>
            </w:r>
            <w:proofErr w:type="spellStart"/>
            <w:r w:rsidRPr="00D15686">
              <w:rPr>
                <w:rFonts w:asciiTheme="minorHAnsi" w:hAnsiTheme="minorHAnsi" w:cstheme="minorHAnsi"/>
                <w:szCs w:val="22"/>
                <w:lang w:val="el-GR"/>
              </w:rPr>
              <w:t>δινορευμάτων</w:t>
            </w:r>
            <w:proofErr w:type="spellEnd"/>
          </w:p>
        </w:tc>
        <w:tc>
          <w:tcPr>
            <w:tcW w:w="1122" w:type="dxa"/>
            <w:noWrap/>
            <w:vAlign w:val="center"/>
            <w:hideMark/>
          </w:tcPr>
          <w:p w14:paraId="2433958B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D15686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089" w:type="dxa"/>
            <w:vAlign w:val="center"/>
          </w:tcPr>
          <w:p w14:paraId="69FCB110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D15686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  <w:proofErr w:type="spellEnd"/>
          </w:p>
        </w:tc>
        <w:tc>
          <w:tcPr>
            <w:tcW w:w="1458" w:type="dxa"/>
            <w:noWrap/>
            <w:vAlign w:val="center"/>
          </w:tcPr>
          <w:p w14:paraId="1E21B32B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0DE331DF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823" w:type="dxa"/>
            <w:vAlign w:val="center"/>
          </w:tcPr>
          <w:p w14:paraId="5FFCE2CB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761" w:type="dxa"/>
            <w:noWrap/>
            <w:vAlign w:val="center"/>
          </w:tcPr>
          <w:p w14:paraId="03957B16" w14:textId="77777777" w:rsidR="00366115" w:rsidRPr="00D15686" w:rsidRDefault="00366115" w:rsidP="005E31E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438A2585" w14:textId="77777777" w:rsidR="00366115" w:rsidRPr="00D15686" w:rsidRDefault="00366115" w:rsidP="00366115">
      <w:pPr>
        <w:spacing w:before="57" w:after="57"/>
        <w:rPr>
          <w:rFonts w:asciiTheme="minorHAnsi" w:hAnsiTheme="minorHAnsi" w:cstheme="minorHAnsi"/>
          <w:lang w:val="el-GR"/>
        </w:rPr>
      </w:pPr>
    </w:p>
    <w:p w14:paraId="25CE43F2" w14:textId="77777777" w:rsidR="00366115" w:rsidRPr="00D15686" w:rsidRDefault="00366115" w:rsidP="00366115">
      <w:pPr>
        <w:spacing w:before="57" w:after="57"/>
        <w:rPr>
          <w:rFonts w:asciiTheme="minorHAnsi" w:hAnsiTheme="minorHAnsi" w:cstheme="minorHAnsi"/>
          <w:lang w:val="el-GR"/>
        </w:rPr>
      </w:pPr>
    </w:p>
    <w:p w14:paraId="75117294" w14:textId="77777777" w:rsidR="00366115" w:rsidRPr="00D15686" w:rsidRDefault="00366115" w:rsidP="00366115">
      <w:pPr>
        <w:spacing w:before="57" w:after="57"/>
        <w:jc w:val="right"/>
        <w:rPr>
          <w:rFonts w:asciiTheme="minorHAnsi" w:hAnsiTheme="minorHAnsi" w:cstheme="minorHAnsi"/>
          <w:i/>
          <w:lang w:val="el-GR"/>
        </w:rPr>
      </w:pPr>
      <w:r w:rsidRPr="00D15686">
        <w:rPr>
          <w:rFonts w:asciiTheme="minorHAnsi" w:hAnsiTheme="minorHAnsi" w:cstheme="minorHAnsi"/>
          <w:i/>
          <w:lang w:val="el-GR"/>
        </w:rPr>
        <w:t xml:space="preserve">                                                                                         Ο/Η Δηλών/ούσα</w:t>
      </w:r>
    </w:p>
    <w:p w14:paraId="39658589" w14:textId="77777777" w:rsidR="00366115" w:rsidRPr="00D15686" w:rsidRDefault="00366115" w:rsidP="00366115">
      <w:pPr>
        <w:spacing w:before="57" w:after="57"/>
        <w:jc w:val="right"/>
        <w:rPr>
          <w:rFonts w:asciiTheme="minorHAnsi" w:hAnsiTheme="minorHAnsi" w:cstheme="minorHAnsi"/>
          <w:lang w:val="el-GR"/>
        </w:rPr>
      </w:pPr>
      <w:r w:rsidRPr="00D15686">
        <w:rPr>
          <w:rFonts w:asciiTheme="minorHAnsi" w:hAnsiTheme="minorHAnsi" w:cstheme="minorHAnsi"/>
          <w:i/>
          <w:lang w:val="el-GR"/>
        </w:rPr>
        <w:t>(Ψηφιακή υπογραφή από το Νομ. Εκπρόσωπο )</w:t>
      </w:r>
    </w:p>
    <w:p w14:paraId="2A512150" w14:textId="77777777" w:rsidR="00763F40" w:rsidRPr="00366115" w:rsidRDefault="00763F40">
      <w:pPr>
        <w:rPr>
          <w:lang w:val="el-GR"/>
        </w:rPr>
      </w:pPr>
    </w:p>
    <w:sectPr w:rsidR="00763F40" w:rsidRPr="003661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15"/>
    <w:rsid w:val="00366115"/>
    <w:rsid w:val="00763F40"/>
    <w:rsid w:val="00B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479B"/>
  <w15:chartTrackingRefBased/>
  <w15:docId w15:val="{F83952E4-6D17-43FB-B968-982939DA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15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66115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6115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6115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6115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6115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6115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6115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6115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6115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6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6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6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661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6611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661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661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661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661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6115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6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6115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6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611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661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6115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661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661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66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Miheli</dc:creator>
  <cp:keywords/>
  <dc:description/>
  <cp:lastModifiedBy>Panagiota Miheli</cp:lastModifiedBy>
  <cp:revision>1</cp:revision>
  <dcterms:created xsi:type="dcterms:W3CDTF">2026-07-09T08:52:00Z</dcterms:created>
  <dcterms:modified xsi:type="dcterms:W3CDTF">2026-07-09T08:52:00Z</dcterms:modified>
</cp:coreProperties>
</file>