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9131F" w14:textId="77777777" w:rsidR="00A61ECF" w:rsidRPr="00D04150" w:rsidRDefault="00A61ECF" w:rsidP="00A61ECF">
      <w:pPr>
        <w:pStyle w:val="Header"/>
        <w:rPr>
          <w:rFonts w:asciiTheme="minorHAnsi" w:hAnsiTheme="minorHAnsi" w:cs="Arial"/>
          <w:b/>
          <w:color w:val="003366"/>
          <w:sz w:val="20"/>
          <w:szCs w:val="20"/>
          <w:lang w:val="en-US"/>
        </w:rPr>
      </w:pPr>
      <w:r w:rsidRPr="00D04150">
        <w:rPr>
          <w:rFonts w:asciiTheme="minorHAnsi" w:hAnsiTheme="minorHAnsi" w:cs="Arial"/>
          <w:b/>
          <w:color w:val="003366"/>
          <w:sz w:val="20"/>
          <w:szCs w:val="20"/>
          <w:lang w:val="en-US"/>
        </w:rPr>
        <w:t>HELLENIC REPUBLIC</w:t>
      </w:r>
      <w:r w:rsidRPr="00033FDE">
        <w:rPr>
          <w:rFonts w:asciiTheme="minorHAnsi" w:hAnsiTheme="minorHAnsi" w:cs="Arial"/>
          <w:b/>
          <w:color w:val="003366"/>
          <w:sz w:val="20"/>
          <w:szCs w:val="20"/>
          <w:lang w:val="en-US"/>
        </w:rPr>
        <w:t xml:space="preserve"> </w:t>
      </w:r>
      <w:r>
        <w:rPr>
          <w:rFonts w:asciiTheme="minorHAnsi" w:hAnsiTheme="minorHAnsi" w:cs="Arial"/>
          <w:b/>
          <w:color w:val="003366"/>
          <w:sz w:val="20"/>
          <w:szCs w:val="20"/>
          <w:lang w:val="en-US"/>
        </w:rPr>
        <w:tab/>
      </w:r>
      <w:r>
        <w:rPr>
          <w:rFonts w:asciiTheme="minorHAnsi" w:hAnsiTheme="minorHAnsi" w:cs="Arial"/>
          <w:b/>
          <w:color w:val="003366"/>
          <w:sz w:val="20"/>
          <w:szCs w:val="20"/>
          <w:lang w:val="en-US"/>
        </w:rPr>
        <w:tab/>
      </w:r>
      <w:r>
        <w:rPr>
          <w:rFonts w:asciiTheme="minorHAnsi" w:hAnsiTheme="minorHAnsi" w:cs="Arial"/>
          <w:b/>
          <w:color w:val="003366"/>
          <w:sz w:val="20"/>
          <w:szCs w:val="20"/>
          <w:lang w:val="en-US"/>
        </w:rPr>
        <w:tab/>
      </w:r>
      <w:r>
        <w:rPr>
          <w:rFonts w:asciiTheme="minorHAnsi" w:hAnsiTheme="minorHAnsi" w:cs="Arial"/>
          <w:b/>
          <w:color w:val="003366"/>
          <w:sz w:val="20"/>
          <w:szCs w:val="20"/>
          <w:lang w:val="en-US"/>
        </w:rPr>
        <w:tab/>
      </w:r>
    </w:p>
    <w:p w14:paraId="28FF5DB6" w14:textId="77777777" w:rsidR="00A61ECF" w:rsidRPr="007C0E4B" w:rsidRDefault="00A61ECF" w:rsidP="00A61ECF">
      <w:pPr>
        <w:rPr>
          <w:rFonts w:asciiTheme="minorHAnsi" w:hAnsiTheme="minorHAnsi" w:cs="Arial"/>
          <w:b/>
          <w:sz w:val="28"/>
          <w:lang w:val="en-US"/>
        </w:rPr>
      </w:pPr>
      <w:r w:rsidRPr="007C0E4B">
        <w:rPr>
          <w:rFonts w:asciiTheme="minorHAnsi" w:hAnsiTheme="minorHAnsi"/>
          <w:noProof/>
          <w:color w:val="003366"/>
          <w:sz w:val="22"/>
          <w:szCs w:val="20"/>
          <w:lang w:val="el-GR" w:eastAsia="el-GR"/>
        </w:rPr>
        <w:drawing>
          <wp:inline distT="0" distB="0" distL="0" distR="0" wp14:anchorId="63B133CD" wp14:editId="201D3483">
            <wp:extent cx="2184000" cy="616688"/>
            <wp:effectExtent l="0" t="0" r="698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c_e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641"/>
                    <a:stretch/>
                  </pic:blipFill>
                  <pic:spPr bwMode="auto">
                    <a:xfrm>
                      <a:off x="0" y="0"/>
                      <a:ext cx="2194560" cy="619670"/>
                    </a:xfrm>
                    <a:prstGeom prst="rect">
                      <a:avLst/>
                    </a:prstGeom>
                    <a:noFill/>
                    <a:ln>
                      <a:noFill/>
                    </a:ln>
                    <a:extLst>
                      <a:ext uri="{53640926-AAD7-44D8-BBD7-CCE9431645EC}">
                        <a14:shadowObscured xmlns:a14="http://schemas.microsoft.com/office/drawing/2010/main"/>
                      </a:ext>
                    </a:extLst>
                  </pic:spPr>
                </pic:pic>
              </a:graphicData>
            </a:graphic>
          </wp:inline>
        </w:drawing>
      </w:r>
    </w:p>
    <w:p w14:paraId="67BAD399" w14:textId="77777777" w:rsidR="00A61ECF" w:rsidRDefault="00A61ECF" w:rsidP="00A61ECF">
      <w:pPr>
        <w:rPr>
          <w:rFonts w:asciiTheme="minorHAnsi" w:hAnsiTheme="minorHAnsi" w:cs="Calibri"/>
          <w:color w:val="003366"/>
          <w:sz w:val="18"/>
          <w:szCs w:val="16"/>
          <w:lang w:val="el-GR"/>
        </w:rPr>
      </w:pPr>
    </w:p>
    <w:p w14:paraId="30614B24" w14:textId="77777777" w:rsidR="00FF7D00" w:rsidRDefault="00FF7D00" w:rsidP="00FF7D00">
      <w:pPr>
        <w:rPr>
          <w:rFonts w:asciiTheme="minorHAnsi" w:hAnsiTheme="minorHAnsi" w:cs="Calibri"/>
          <w:color w:val="003366"/>
          <w:sz w:val="18"/>
          <w:szCs w:val="16"/>
          <w:lang w:val="en-US"/>
        </w:rPr>
      </w:pPr>
      <w:r w:rsidRPr="00742E45">
        <w:rPr>
          <w:rFonts w:asciiTheme="minorHAnsi" w:hAnsiTheme="minorHAnsi" w:cs="Calibri"/>
          <w:color w:val="003366"/>
          <w:sz w:val="18"/>
          <w:szCs w:val="16"/>
          <w:lang w:val="en-US"/>
        </w:rPr>
        <w:t>UNIVERSITY CENTER OF INTERNATIONAL PROGRAMMES OF STUDIES</w:t>
      </w:r>
      <w:r w:rsidRPr="00535A1F">
        <w:rPr>
          <w:rFonts w:asciiTheme="minorHAnsi" w:hAnsiTheme="minorHAnsi" w:cs="Calibri"/>
          <w:color w:val="003366"/>
          <w:sz w:val="18"/>
          <w:szCs w:val="16"/>
          <w:lang w:val="en-US"/>
        </w:rPr>
        <w:t xml:space="preserve"> </w:t>
      </w:r>
    </w:p>
    <w:p w14:paraId="1F8C69B0" w14:textId="77777777" w:rsidR="00FF7D00" w:rsidRDefault="00FF7D00" w:rsidP="00FF7D00">
      <w:pPr>
        <w:rPr>
          <w:rFonts w:asciiTheme="minorHAnsi" w:hAnsiTheme="minorHAnsi" w:cs="Calibri"/>
          <w:color w:val="003366"/>
          <w:sz w:val="18"/>
          <w:szCs w:val="16"/>
          <w:lang w:val="en-US"/>
        </w:rPr>
      </w:pPr>
      <w:r w:rsidRPr="00535A1F">
        <w:rPr>
          <w:rFonts w:asciiTheme="minorHAnsi" w:hAnsiTheme="minorHAnsi" w:cs="Calibri"/>
          <w:color w:val="003366"/>
          <w:sz w:val="18"/>
          <w:szCs w:val="16"/>
          <w:lang w:val="en-US"/>
        </w:rPr>
        <w:t>SCHOOL OF SCIENCE AND TECHNOLOGY</w:t>
      </w:r>
    </w:p>
    <w:p w14:paraId="68BF54F5" w14:textId="77777777" w:rsidR="00FF7D00" w:rsidRPr="005200FD" w:rsidRDefault="00FF7D00" w:rsidP="00FF7D00">
      <w:pPr>
        <w:rPr>
          <w:rFonts w:asciiTheme="minorHAnsi" w:hAnsiTheme="minorHAnsi" w:cs="Calibri"/>
          <w:color w:val="003366"/>
          <w:sz w:val="18"/>
          <w:szCs w:val="16"/>
          <w:lang w:val="en-US"/>
        </w:rPr>
      </w:pPr>
      <w:r w:rsidRPr="00535A1F">
        <w:rPr>
          <w:rFonts w:asciiTheme="minorHAnsi" w:hAnsiTheme="minorHAnsi" w:cs="Calibri"/>
          <w:color w:val="003366"/>
          <w:sz w:val="18"/>
          <w:szCs w:val="16"/>
          <w:lang w:val="en-US"/>
        </w:rPr>
        <w:t>DEPARTMENT OF SCIENCE AND TECHNOLOGY</w:t>
      </w:r>
    </w:p>
    <w:p w14:paraId="0554958A" w14:textId="77777777" w:rsidR="00A61ECF" w:rsidRPr="007C0E4B" w:rsidRDefault="00A61ECF" w:rsidP="00A61ECF">
      <w:pPr>
        <w:rPr>
          <w:rFonts w:asciiTheme="minorHAnsi" w:hAnsiTheme="minorHAnsi" w:cs="Calibri"/>
          <w:color w:val="003366"/>
          <w:sz w:val="18"/>
          <w:szCs w:val="16"/>
          <w:lang w:val="en-US"/>
        </w:rPr>
      </w:pPr>
      <w:r w:rsidRPr="007C0E4B">
        <w:rPr>
          <w:rFonts w:asciiTheme="minorHAnsi" w:hAnsiTheme="minorHAnsi" w:cs="Calibri"/>
          <w:color w:val="003366"/>
          <w:sz w:val="18"/>
          <w:szCs w:val="16"/>
          <w:lang w:val="en-US"/>
        </w:rPr>
        <w:t>14</w:t>
      </w:r>
      <w:r w:rsidRPr="007C0E4B">
        <w:rPr>
          <w:rFonts w:asciiTheme="minorHAnsi" w:hAnsiTheme="minorHAnsi" w:cs="Calibri"/>
          <w:color w:val="003366"/>
          <w:sz w:val="18"/>
          <w:szCs w:val="16"/>
          <w:vertAlign w:val="superscript"/>
          <w:lang w:val="en-US"/>
        </w:rPr>
        <w:t>th</w:t>
      </w:r>
      <w:r w:rsidRPr="007C0E4B">
        <w:rPr>
          <w:rFonts w:asciiTheme="minorHAnsi" w:hAnsiTheme="minorHAnsi" w:cs="Calibri"/>
          <w:color w:val="003366"/>
          <w:sz w:val="18"/>
          <w:szCs w:val="16"/>
          <w:lang w:val="en-US"/>
        </w:rPr>
        <w:t xml:space="preserve"> km THESSALONIKI – NEA MOUDANIA</w:t>
      </w:r>
      <w:r>
        <w:rPr>
          <w:rFonts w:asciiTheme="minorHAnsi" w:hAnsiTheme="minorHAnsi" w:cs="Calibri"/>
          <w:color w:val="003366"/>
          <w:sz w:val="18"/>
          <w:szCs w:val="16"/>
          <w:lang w:val="en-US"/>
        </w:rPr>
        <w:t xml:space="preserve"> </w:t>
      </w:r>
      <w:r>
        <w:rPr>
          <w:rFonts w:asciiTheme="minorHAnsi" w:hAnsiTheme="minorHAnsi" w:cs="Calibri"/>
          <w:color w:val="003366"/>
          <w:sz w:val="18"/>
          <w:szCs w:val="16"/>
          <w:lang w:val="en-US"/>
        </w:rPr>
        <w:tab/>
      </w:r>
      <w:r>
        <w:rPr>
          <w:rFonts w:asciiTheme="minorHAnsi" w:hAnsiTheme="minorHAnsi" w:cs="Calibri"/>
          <w:color w:val="003366"/>
          <w:sz w:val="18"/>
          <w:szCs w:val="16"/>
          <w:lang w:val="en-US"/>
        </w:rPr>
        <w:tab/>
      </w:r>
      <w:r>
        <w:rPr>
          <w:rFonts w:asciiTheme="minorHAnsi" w:hAnsiTheme="minorHAnsi" w:cs="Calibri"/>
          <w:color w:val="003366"/>
          <w:sz w:val="18"/>
          <w:szCs w:val="16"/>
          <w:lang w:val="en-US"/>
        </w:rPr>
        <w:tab/>
        <w:t xml:space="preserve">    </w:t>
      </w:r>
    </w:p>
    <w:p w14:paraId="18F97367" w14:textId="77777777" w:rsidR="00F70A74" w:rsidRDefault="00A61ECF" w:rsidP="00A61ECF">
      <w:pPr>
        <w:ind w:left="11" w:hanging="11"/>
        <w:rPr>
          <w:rFonts w:asciiTheme="minorHAnsi" w:hAnsiTheme="minorHAnsi" w:cs="Calibri"/>
          <w:color w:val="003366"/>
          <w:sz w:val="18"/>
          <w:szCs w:val="16"/>
          <w:lang w:val="pt-BR"/>
        </w:rPr>
      </w:pPr>
      <w:r w:rsidRPr="007C0E4B">
        <w:rPr>
          <w:rFonts w:asciiTheme="minorHAnsi" w:hAnsiTheme="minorHAnsi" w:cs="Calibri"/>
          <w:color w:val="003366"/>
          <w:sz w:val="18"/>
          <w:szCs w:val="16"/>
          <w:lang w:val="pt-BR"/>
        </w:rPr>
        <w:t xml:space="preserve">570 01 </w:t>
      </w:r>
      <w:r w:rsidRPr="007C0E4B">
        <w:rPr>
          <w:rFonts w:asciiTheme="minorHAnsi" w:hAnsiTheme="minorHAnsi" w:cs="Calibri"/>
          <w:color w:val="003366"/>
          <w:sz w:val="18"/>
          <w:szCs w:val="16"/>
          <w:lang w:val="en-US"/>
        </w:rPr>
        <w:t>THERMI, THESSALONIKI</w:t>
      </w:r>
      <w:r w:rsidRPr="00D04150">
        <w:rPr>
          <w:rFonts w:asciiTheme="minorHAnsi" w:hAnsiTheme="minorHAnsi" w:cs="Calibri"/>
          <w:color w:val="003366"/>
          <w:sz w:val="18"/>
          <w:szCs w:val="16"/>
          <w:lang w:val="en-US"/>
        </w:rPr>
        <w:t xml:space="preserve">, </w:t>
      </w:r>
      <w:r w:rsidRPr="007C0E4B">
        <w:rPr>
          <w:rFonts w:asciiTheme="minorHAnsi" w:hAnsiTheme="minorHAnsi" w:cs="Calibri"/>
          <w:color w:val="003366"/>
          <w:sz w:val="18"/>
          <w:szCs w:val="16"/>
          <w:lang w:val="pt-BR"/>
        </w:rPr>
        <w:t>GREECE</w:t>
      </w:r>
      <w:r>
        <w:rPr>
          <w:rFonts w:asciiTheme="minorHAnsi" w:hAnsiTheme="minorHAnsi" w:cs="Calibri"/>
          <w:color w:val="003366"/>
          <w:sz w:val="18"/>
          <w:szCs w:val="16"/>
          <w:lang w:val="pt-BR"/>
        </w:rPr>
        <w:t xml:space="preserve"> </w:t>
      </w:r>
      <w:r>
        <w:rPr>
          <w:rFonts w:asciiTheme="minorHAnsi" w:hAnsiTheme="minorHAnsi" w:cs="Calibri"/>
          <w:color w:val="003366"/>
          <w:sz w:val="18"/>
          <w:szCs w:val="16"/>
          <w:lang w:val="pt-BR"/>
        </w:rPr>
        <w:tab/>
      </w:r>
      <w:r>
        <w:rPr>
          <w:rFonts w:asciiTheme="minorHAnsi" w:hAnsiTheme="minorHAnsi" w:cs="Calibri"/>
          <w:color w:val="003366"/>
          <w:sz w:val="18"/>
          <w:szCs w:val="16"/>
          <w:lang w:val="pt-BR"/>
        </w:rPr>
        <w:tab/>
      </w:r>
      <w:r>
        <w:rPr>
          <w:rFonts w:asciiTheme="minorHAnsi" w:hAnsiTheme="minorHAnsi" w:cs="Calibri"/>
          <w:color w:val="003366"/>
          <w:sz w:val="18"/>
          <w:szCs w:val="16"/>
          <w:lang w:val="pt-BR"/>
        </w:rPr>
        <w:tab/>
      </w:r>
      <w:r>
        <w:rPr>
          <w:rFonts w:asciiTheme="minorHAnsi" w:hAnsiTheme="minorHAnsi" w:cs="Calibri"/>
          <w:color w:val="003366"/>
          <w:sz w:val="18"/>
          <w:szCs w:val="16"/>
          <w:lang w:val="pt-BR"/>
        </w:rPr>
        <w:tab/>
        <w:t xml:space="preserve">            </w:t>
      </w:r>
    </w:p>
    <w:p w14:paraId="34CCE699" w14:textId="34466491" w:rsidR="00A61ECF" w:rsidRPr="00033FDE" w:rsidRDefault="00A61ECF" w:rsidP="00A61ECF">
      <w:pPr>
        <w:ind w:left="11" w:hanging="11"/>
        <w:rPr>
          <w:rFonts w:asciiTheme="minorHAnsi" w:hAnsiTheme="minorHAnsi" w:cs="Calibri"/>
          <w:color w:val="003366"/>
          <w:sz w:val="20"/>
          <w:szCs w:val="16"/>
          <w:lang w:val="pt-BR"/>
        </w:rPr>
      </w:pPr>
      <w:r w:rsidRPr="007C0E4B">
        <w:rPr>
          <w:rFonts w:asciiTheme="minorHAnsi" w:hAnsiTheme="minorHAnsi" w:cs="Calibri"/>
          <w:color w:val="003366"/>
          <w:sz w:val="18"/>
          <w:szCs w:val="16"/>
          <w:lang w:val="en-US"/>
        </w:rPr>
        <w:t>Tel</w:t>
      </w:r>
      <w:r w:rsidRPr="00D04150">
        <w:rPr>
          <w:rFonts w:asciiTheme="minorHAnsi" w:hAnsiTheme="minorHAnsi" w:cs="Calibri"/>
          <w:color w:val="003366"/>
          <w:sz w:val="18"/>
          <w:szCs w:val="16"/>
          <w:lang w:val="en-US"/>
        </w:rPr>
        <w:t>.</w:t>
      </w:r>
      <w:r w:rsidR="00F70A74">
        <w:rPr>
          <w:rFonts w:asciiTheme="minorHAnsi" w:hAnsiTheme="minorHAnsi" w:cs="Calibri"/>
          <w:color w:val="003366"/>
          <w:sz w:val="18"/>
          <w:szCs w:val="16"/>
          <w:lang w:val="pt-BR"/>
        </w:rPr>
        <w:t>: +30 2310 807 5</w:t>
      </w:r>
      <w:r w:rsidR="00A52748">
        <w:rPr>
          <w:rFonts w:asciiTheme="minorHAnsi" w:hAnsiTheme="minorHAnsi" w:cs="Calibri"/>
          <w:color w:val="003366"/>
          <w:sz w:val="18"/>
          <w:szCs w:val="16"/>
          <w:lang w:val="pt-BR"/>
        </w:rPr>
        <w:t>2</w:t>
      </w:r>
      <w:r w:rsidR="00421E7E">
        <w:rPr>
          <w:rFonts w:asciiTheme="minorHAnsi" w:hAnsiTheme="minorHAnsi" w:cs="Calibri"/>
          <w:color w:val="003366"/>
          <w:sz w:val="18"/>
          <w:szCs w:val="16"/>
          <w:lang w:val="pt-BR"/>
        </w:rPr>
        <w:t>9</w:t>
      </w:r>
      <w:r w:rsidR="002C5AF6">
        <w:rPr>
          <w:rFonts w:asciiTheme="minorHAnsi" w:hAnsiTheme="minorHAnsi" w:cs="Calibri"/>
          <w:color w:val="003366"/>
          <w:sz w:val="18"/>
          <w:szCs w:val="16"/>
          <w:lang w:val="pt-BR"/>
        </w:rPr>
        <w:t>,5</w:t>
      </w:r>
      <w:r w:rsidR="00421E7E">
        <w:rPr>
          <w:rFonts w:asciiTheme="minorHAnsi" w:hAnsiTheme="minorHAnsi" w:cs="Calibri"/>
          <w:color w:val="003366"/>
          <w:sz w:val="18"/>
          <w:szCs w:val="16"/>
          <w:lang w:val="pt-BR"/>
        </w:rPr>
        <w:t>31</w:t>
      </w:r>
      <w:r>
        <w:rPr>
          <w:rFonts w:asciiTheme="minorHAnsi" w:hAnsiTheme="minorHAnsi" w:cs="Calibri"/>
          <w:color w:val="003366"/>
          <w:sz w:val="18"/>
          <w:szCs w:val="16"/>
          <w:lang w:val="pt-BR"/>
        </w:rPr>
        <w:tab/>
      </w:r>
      <w:r>
        <w:rPr>
          <w:rFonts w:asciiTheme="minorHAnsi" w:hAnsiTheme="minorHAnsi" w:cs="Calibri"/>
          <w:color w:val="003366"/>
          <w:sz w:val="18"/>
          <w:szCs w:val="16"/>
          <w:lang w:val="pt-BR"/>
        </w:rPr>
        <w:tab/>
      </w:r>
      <w:r>
        <w:rPr>
          <w:rFonts w:asciiTheme="minorHAnsi" w:hAnsiTheme="minorHAnsi" w:cs="Calibri"/>
          <w:color w:val="003366"/>
          <w:sz w:val="18"/>
          <w:szCs w:val="16"/>
          <w:lang w:val="pt-BR"/>
        </w:rPr>
        <w:tab/>
      </w:r>
      <w:r>
        <w:rPr>
          <w:rFonts w:asciiTheme="minorHAnsi" w:hAnsiTheme="minorHAnsi" w:cs="Calibri"/>
          <w:color w:val="003366"/>
          <w:sz w:val="18"/>
          <w:szCs w:val="16"/>
          <w:lang w:val="pt-BR"/>
        </w:rPr>
        <w:tab/>
      </w:r>
      <w:r>
        <w:rPr>
          <w:rFonts w:asciiTheme="minorHAnsi" w:hAnsiTheme="minorHAnsi" w:cs="Calibri"/>
          <w:color w:val="003366"/>
          <w:sz w:val="18"/>
          <w:szCs w:val="16"/>
          <w:lang w:val="pt-BR"/>
        </w:rPr>
        <w:tab/>
        <w:t xml:space="preserve">                             </w:t>
      </w:r>
      <w:r w:rsidRPr="00033FDE">
        <w:rPr>
          <w:rFonts w:asciiTheme="minorHAnsi" w:hAnsiTheme="minorHAnsi" w:cs="Calibri"/>
          <w:color w:val="003366"/>
          <w:sz w:val="20"/>
          <w:szCs w:val="16"/>
          <w:lang w:val="pt-BR"/>
        </w:rPr>
        <w:t xml:space="preserve">             </w:t>
      </w:r>
    </w:p>
    <w:p w14:paraId="0D669DD6" w14:textId="77777777" w:rsidR="001B1612" w:rsidRPr="00BA2E3B" w:rsidRDefault="001B1612" w:rsidP="001B1612">
      <w:pPr>
        <w:autoSpaceDE w:val="0"/>
        <w:rPr>
          <w:rStyle w:val="Hyperlink"/>
          <w:rFonts w:asciiTheme="minorHAnsi" w:hAnsiTheme="minorHAnsi" w:cs="Calibri"/>
          <w:sz w:val="18"/>
          <w:szCs w:val="18"/>
          <w:lang w:val="en-US"/>
        </w:rPr>
      </w:pPr>
      <w:r w:rsidRPr="00043E65">
        <w:rPr>
          <w:rFonts w:asciiTheme="minorHAnsi" w:hAnsiTheme="minorHAnsi"/>
          <w:color w:val="003366"/>
          <w:sz w:val="18"/>
          <w:szCs w:val="18"/>
          <w:lang w:val="en-US"/>
        </w:rPr>
        <w:t>E</w:t>
      </w:r>
      <w:r w:rsidRPr="006964CC">
        <w:rPr>
          <w:rFonts w:asciiTheme="minorHAnsi" w:hAnsiTheme="minorHAnsi"/>
          <w:color w:val="003366"/>
          <w:sz w:val="18"/>
          <w:szCs w:val="18"/>
          <w:lang w:val="en-US"/>
        </w:rPr>
        <w:t>-</w:t>
      </w:r>
      <w:r w:rsidRPr="00043E65">
        <w:rPr>
          <w:rFonts w:asciiTheme="minorHAnsi" w:hAnsiTheme="minorHAnsi"/>
          <w:color w:val="003366"/>
          <w:sz w:val="18"/>
          <w:szCs w:val="18"/>
          <w:lang w:val="en-US"/>
        </w:rPr>
        <w:t>mail</w:t>
      </w:r>
      <w:r w:rsidRPr="006964CC">
        <w:rPr>
          <w:rFonts w:asciiTheme="minorHAnsi" w:hAnsiTheme="minorHAnsi"/>
          <w:color w:val="003366"/>
          <w:sz w:val="18"/>
          <w:szCs w:val="18"/>
          <w:lang w:val="en-US"/>
        </w:rPr>
        <w:t xml:space="preserve">: </w:t>
      </w:r>
      <w:hyperlink r:id="rId9" w:history="1">
        <w:r w:rsidRPr="00BA2E3B">
          <w:rPr>
            <w:rStyle w:val="Hyperlink"/>
            <w:rFonts w:asciiTheme="minorHAnsi" w:hAnsiTheme="minorHAnsi" w:cs="Calibri"/>
            <w:sz w:val="18"/>
            <w:szCs w:val="18"/>
            <w:lang w:val="en-US"/>
          </w:rPr>
          <w:t>admissions</w:t>
        </w:r>
        <w:r w:rsidRPr="006964CC">
          <w:rPr>
            <w:rStyle w:val="Hyperlink"/>
            <w:rFonts w:asciiTheme="minorHAnsi" w:hAnsiTheme="minorHAnsi" w:cs="Calibri"/>
            <w:sz w:val="18"/>
            <w:szCs w:val="18"/>
            <w:lang w:val="en-US"/>
          </w:rPr>
          <w:t>@</w:t>
        </w:r>
        <w:r w:rsidRPr="00BA2E3B">
          <w:rPr>
            <w:rStyle w:val="Hyperlink"/>
            <w:rFonts w:asciiTheme="minorHAnsi" w:hAnsiTheme="minorHAnsi" w:cs="Calibri"/>
            <w:sz w:val="18"/>
            <w:szCs w:val="18"/>
            <w:lang w:val="en-US"/>
          </w:rPr>
          <w:t>ihu</w:t>
        </w:r>
        <w:r w:rsidRPr="006964CC">
          <w:rPr>
            <w:rStyle w:val="Hyperlink"/>
            <w:rFonts w:asciiTheme="minorHAnsi" w:hAnsiTheme="minorHAnsi" w:cs="Calibri"/>
            <w:sz w:val="18"/>
            <w:szCs w:val="18"/>
            <w:lang w:val="en-US"/>
          </w:rPr>
          <w:t>.</w:t>
        </w:r>
        <w:r w:rsidRPr="00BA2E3B">
          <w:rPr>
            <w:rStyle w:val="Hyperlink"/>
            <w:rFonts w:asciiTheme="minorHAnsi" w:hAnsiTheme="minorHAnsi" w:cs="Calibri"/>
            <w:sz w:val="18"/>
            <w:szCs w:val="18"/>
            <w:lang w:val="en-US"/>
          </w:rPr>
          <w:t>edu</w:t>
        </w:r>
        <w:r w:rsidRPr="006964CC">
          <w:rPr>
            <w:rStyle w:val="Hyperlink"/>
            <w:rFonts w:asciiTheme="minorHAnsi" w:hAnsiTheme="minorHAnsi" w:cs="Calibri"/>
            <w:sz w:val="18"/>
            <w:szCs w:val="18"/>
            <w:lang w:val="en-US"/>
          </w:rPr>
          <w:t>.</w:t>
        </w:r>
        <w:r w:rsidRPr="00BA2E3B">
          <w:rPr>
            <w:rStyle w:val="Hyperlink"/>
            <w:rFonts w:asciiTheme="minorHAnsi" w:hAnsiTheme="minorHAnsi" w:cs="Calibri"/>
            <w:sz w:val="18"/>
            <w:szCs w:val="18"/>
            <w:lang w:val="en-US"/>
          </w:rPr>
          <w:t>gr</w:t>
        </w:r>
      </w:hyperlink>
    </w:p>
    <w:p w14:paraId="34C1C54D" w14:textId="77777777" w:rsidR="001B1612" w:rsidRPr="000B397C" w:rsidRDefault="001B1612" w:rsidP="001B1612">
      <w:pPr>
        <w:autoSpaceDE w:val="0"/>
        <w:rPr>
          <w:rFonts w:asciiTheme="minorHAnsi" w:hAnsiTheme="minorHAnsi"/>
          <w:color w:val="003366"/>
          <w:sz w:val="18"/>
          <w:szCs w:val="18"/>
          <w:lang w:val="en-US"/>
        </w:rPr>
      </w:pPr>
      <w:r>
        <w:rPr>
          <w:rFonts w:asciiTheme="minorHAnsi" w:hAnsiTheme="minorHAnsi"/>
          <w:color w:val="003366"/>
          <w:sz w:val="18"/>
          <w:szCs w:val="18"/>
          <w:lang w:val="en-US"/>
        </w:rPr>
        <w:t xml:space="preserve">Web site: </w:t>
      </w:r>
      <w:hyperlink r:id="rId10" w:history="1">
        <w:r w:rsidRPr="006749A0">
          <w:rPr>
            <w:rStyle w:val="Hyperlink"/>
            <w:rFonts w:asciiTheme="minorHAnsi" w:hAnsiTheme="minorHAnsi"/>
            <w:sz w:val="18"/>
            <w:szCs w:val="18"/>
            <w:lang w:val="en-US"/>
          </w:rPr>
          <w:t>https</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www</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ihu</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gr</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ucips</w:t>
        </w:r>
        <w:r w:rsidRPr="000B397C">
          <w:rPr>
            <w:rStyle w:val="Hyperlink"/>
            <w:rFonts w:asciiTheme="minorHAnsi" w:hAnsiTheme="minorHAnsi"/>
            <w:sz w:val="18"/>
            <w:szCs w:val="18"/>
            <w:lang w:val="en-US"/>
          </w:rPr>
          <w:t>/</w:t>
        </w:r>
        <w:r w:rsidRPr="006749A0">
          <w:rPr>
            <w:rStyle w:val="Hyperlink"/>
            <w:rFonts w:asciiTheme="minorHAnsi" w:hAnsiTheme="minorHAnsi"/>
            <w:sz w:val="18"/>
            <w:szCs w:val="18"/>
            <w:lang w:val="en-US"/>
          </w:rPr>
          <w:t>sst</w:t>
        </w:r>
      </w:hyperlink>
      <w:r w:rsidRPr="000B397C">
        <w:rPr>
          <w:rFonts w:asciiTheme="minorHAnsi" w:hAnsiTheme="minorHAnsi"/>
          <w:color w:val="003366"/>
          <w:sz w:val="18"/>
          <w:szCs w:val="18"/>
          <w:lang w:val="en-US"/>
        </w:rPr>
        <w:t xml:space="preserve"> </w:t>
      </w:r>
    </w:p>
    <w:p w14:paraId="08BAFB69" w14:textId="77777777" w:rsidR="001B1612" w:rsidRDefault="001B1612" w:rsidP="00344ADC">
      <w:pPr>
        <w:spacing w:line="360" w:lineRule="auto"/>
        <w:jc w:val="right"/>
        <w:rPr>
          <w:rFonts w:ascii="Calibri" w:eastAsia="Calibri" w:hAnsi="Calibri" w:cs="Arial"/>
          <w:sz w:val="22"/>
          <w:szCs w:val="22"/>
          <w:lang w:val="en-US"/>
        </w:rPr>
      </w:pPr>
    </w:p>
    <w:p w14:paraId="46192285" w14:textId="77777777" w:rsidR="00421E7E" w:rsidRDefault="00421E7E" w:rsidP="00344ADC">
      <w:pPr>
        <w:spacing w:line="360" w:lineRule="auto"/>
        <w:jc w:val="right"/>
        <w:rPr>
          <w:rFonts w:ascii="Calibri" w:eastAsia="Calibri" w:hAnsi="Calibri" w:cs="Arial"/>
          <w:sz w:val="22"/>
          <w:szCs w:val="22"/>
          <w:lang w:val="en-US"/>
        </w:rPr>
      </w:pPr>
    </w:p>
    <w:p w14:paraId="6789EC26" w14:textId="09F76041" w:rsidR="007C0E4B" w:rsidRPr="00421E7E" w:rsidRDefault="00344ADC" w:rsidP="00344ADC">
      <w:pPr>
        <w:spacing w:line="360" w:lineRule="auto"/>
        <w:jc w:val="right"/>
        <w:rPr>
          <w:rFonts w:ascii="Calibri" w:hAnsi="Calibri" w:cs="Arial"/>
          <w:b/>
          <w:sz w:val="32"/>
          <w:szCs w:val="32"/>
          <w:lang w:val="en-US"/>
        </w:rPr>
      </w:pPr>
      <w:r w:rsidRPr="00BE4CD4">
        <w:rPr>
          <w:rFonts w:ascii="Calibri" w:eastAsia="Calibri" w:hAnsi="Calibri" w:cs="Arial"/>
          <w:sz w:val="22"/>
          <w:szCs w:val="22"/>
          <w:lang w:val="en-US"/>
        </w:rPr>
        <w:t>Ref. No.</w:t>
      </w:r>
      <w:r w:rsidR="002A2C72" w:rsidRPr="002A2C72">
        <w:rPr>
          <w:rFonts w:cs="Calibri"/>
        </w:rPr>
        <w:t xml:space="preserve"> </w:t>
      </w:r>
      <w:r w:rsidR="00F71F90" w:rsidRPr="00624735">
        <w:rPr>
          <w:rFonts w:cs="Calibri"/>
          <w:highlight w:val="yellow"/>
        </w:rPr>
        <w:t>101-</w:t>
      </w:r>
      <w:r w:rsidR="005F2506">
        <w:rPr>
          <w:rFonts w:cs="Calibri"/>
          <w:highlight w:val="yellow"/>
          <w:lang w:val="el-GR"/>
        </w:rPr>
        <w:t>15</w:t>
      </w:r>
      <w:r w:rsidR="00F71F90" w:rsidRPr="00624735">
        <w:rPr>
          <w:rFonts w:cs="Calibri"/>
          <w:highlight w:val="yellow"/>
        </w:rPr>
        <w:t>-0</w:t>
      </w:r>
      <w:r w:rsidR="005F2506">
        <w:rPr>
          <w:rFonts w:cs="Calibri"/>
          <w:highlight w:val="yellow"/>
          <w:lang w:val="el-GR"/>
        </w:rPr>
        <w:t>9</w:t>
      </w:r>
      <w:r w:rsidR="00F71F90" w:rsidRPr="00624735">
        <w:rPr>
          <w:rFonts w:cs="Calibri"/>
          <w:highlight w:val="yellow"/>
        </w:rPr>
        <w:t>-2025</w:t>
      </w:r>
    </w:p>
    <w:p w14:paraId="084B95DB" w14:textId="77777777" w:rsidR="001B1612" w:rsidRDefault="001B1612" w:rsidP="00235D86">
      <w:pPr>
        <w:spacing w:line="360" w:lineRule="auto"/>
        <w:jc w:val="center"/>
        <w:rPr>
          <w:rFonts w:ascii="Calibri" w:hAnsi="Calibri" w:cs="Arial"/>
          <w:b/>
          <w:lang w:val="en-US"/>
        </w:rPr>
      </w:pPr>
    </w:p>
    <w:p w14:paraId="3135616C" w14:textId="77777777" w:rsidR="00235D86" w:rsidRPr="00396B0A" w:rsidRDefault="00235D86" w:rsidP="00235D86">
      <w:pPr>
        <w:spacing w:line="360" w:lineRule="auto"/>
        <w:jc w:val="center"/>
        <w:rPr>
          <w:rFonts w:ascii="Calibri" w:hAnsi="Calibri" w:cs="Arial"/>
          <w:b/>
          <w:lang w:val="en-US"/>
        </w:rPr>
      </w:pPr>
      <w:r w:rsidRPr="00396B0A">
        <w:rPr>
          <w:rFonts w:ascii="Calibri" w:hAnsi="Calibri" w:cs="Arial"/>
          <w:b/>
          <w:lang w:val="en-US"/>
        </w:rPr>
        <w:t>SCHOOL OF SCIENCE AND TECHNOLOGY</w:t>
      </w:r>
    </w:p>
    <w:p w14:paraId="67E72A1F" w14:textId="77777777" w:rsidR="00235D86" w:rsidRPr="00396B0A" w:rsidRDefault="007C0E4B" w:rsidP="00235D86">
      <w:pPr>
        <w:spacing w:line="360" w:lineRule="auto"/>
        <w:jc w:val="center"/>
        <w:rPr>
          <w:rFonts w:ascii="Calibri" w:hAnsi="Calibri" w:cs="Arial"/>
          <w:b/>
          <w:lang w:val="en-US"/>
        </w:rPr>
      </w:pPr>
      <w:r w:rsidRPr="00396B0A">
        <w:rPr>
          <w:rFonts w:ascii="Calibri" w:hAnsi="Calibri" w:cs="Arial"/>
          <w:b/>
          <w:lang w:val="en-US"/>
        </w:rPr>
        <w:t>ANNOUNCEMENT</w:t>
      </w:r>
    </w:p>
    <w:p w14:paraId="2A47E8D0" w14:textId="77777777" w:rsidR="00235D86" w:rsidRPr="00396B0A" w:rsidRDefault="007C0E4B" w:rsidP="00235D86">
      <w:pPr>
        <w:spacing w:line="360" w:lineRule="auto"/>
        <w:jc w:val="center"/>
        <w:rPr>
          <w:rFonts w:ascii="Calibri" w:hAnsi="Calibri" w:cs="Arial"/>
          <w:b/>
          <w:lang w:val="en-US"/>
        </w:rPr>
      </w:pPr>
      <w:r w:rsidRPr="00396B0A">
        <w:rPr>
          <w:rFonts w:ascii="Calibri" w:hAnsi="Calibri" w:cs="Arial"/>
          <w:b/>
          <w:lang w:val="en-US"/>
        </w:rPr>
        <w:t xml:space="preserve">Admission of Graduate Students </w:t>
      </w:r>
    </w:p>
    <w:p w14:paraId="23BB4F94" w14:textId="77777777" w:rsidR="00A55B50" w:rsidRDefault="007C0E4B" w:rsidP="00235D86">
      <w:pPr>
        <w:spacing w:line="360" w:lineRule="auto"/>
        <w:jc w:val="center"/>
        <w:rPr>
          <w:rFonts w:ascii="Calibri" w:hAnsi="Calibri" w:cs="Arial"/>
          <w:b/>
          <w:i/>
          <w:lang w:val="en-US"/>
        </w:rPr>
      </w:pPr>
      <w:r w:rsidRPr="00396B0A">
        <w:rPr>
          <w:rFonts w:ascii="Calibri" w:hAnsi="Calibri" w:cs="Arial"/>
          <w:b/>
          <w:i/>
          <w:lang w:val="en-US"/>
        </w:rPr>
        <w:t>“</w:t>
      </w:r>
      <w:r w:rsidR="00165A00">
        <w:rPr>
          <w:rFonts w:ascii="Calibri" w:hAnsi="Calibri" w:cs="Arial"/>
          <w:b/>
          <w:i/>
          <w:lang w:val="en-US"/>
        </w:rPr>
        <w:t>MSc in Energy and Finance</w:t>
      </w:r>
      <w:r w:rsidRPr="00396B0A">
        <w:rPr>
          <w:rFonts w:ascii="Calibri" w:hAnsi="Calibri" w:cs="Arial"/>
          <w:b/>
          <w:i/>
          <w:lang w:val="en-US"/>
        </w:rPr>
        <w:t>”</w:t>
      </w:r>
    </w:p>
    <w:p w14:paraId="2FE1BC3C" w14:textId="77777777" w:rsidR="00421E7E" w:rsidRDefault="00421E7E" w:rsidP="00BE22A7">
      <w:pPr>
        <w:spacing w:after="120" w:line="276" w:lineRule="auto"/>
        <w:rPr>
          <w:rFonts w:asciiTheme="minorHAnsi" w:eastAsiaTheme="minorHAnsi" w:hAnsiTheme="minorHAnsi" w:cstheme="minorBidi"/>
          <w:sz w:val="22"/>
          <w:szCs w:val="22"/>
          <w:lang w:val="en-US"/>
        </w:rPr>
      </w:pPr>
    </w:p>
    <w:p w14:paraId="2F56B5FA" w14:textId="7375E811" w:rsidR="00E454DC" w:rsidRPr="002C5AF6" w:rsidRDefault="00E553DB" w:rsidP="00BE22A7">
      <w:pPr>
        <w:spacing w:after="120" w:line="276" w:lineRule="auto"/>
        <w:rPr>
          <w:rFonts w:asciiTheme="minorHAnsi" w:eastAsiaTheme="minorHAnsi" w:hAnsiTheme="minorHAnsi" w:cstheme="minorBidi"/>
          <w:sz w:val="22"/>
          <w:szCs w:val="22"/>
        </w:rPr>
      </w:pPr>
      <w:r w:rsidRPr="00E553DB">
        <w:rPr>
          <w:rFonts w:asciiTheme="minorHAnsi" w:eastAsiaTheme="minorHAnsi" w:hAnsiTheme="minorHAnsi" w:cstheme="minorBidi"/>
          <w:sz w:val="22"/>
          <w:szCs w:val="22"/>
          <w:lang w:val="en-US"/>
        </w:rPr>
        <w:t xml:space="preserve">1. </w:t>
      </w:r>
      <w:r w:rsidR="00A5220C" w:rsidRPr="00BC4373">
        <w:rPr>
          <w:rFonts w:asciiTheme="minorHAnsi" w:eastAsiaTheme="minorHAnsi" w:hAnsiTheme="minorHAnsi" w:cstheme="minorBidi"/>
          <w:sz w:val="22"/>
          <w:szCs w:val="22"/>
        </w:rPr>
        <w:t xml:space="preserve">The School of Science </w:t>
      </w:r>
      <w:r w:rsidR="006C4F3D">
        <w:rPr>
          <w:rFonts w:asciiTheme="minorHAnsi" w:eastAsiaTheme="minorHAnsi" w:hAnsiTheme="minorHAnsi" w:cstheme="minorBidi"/>
          <w:sz w:val="22"/>
          <w:szCs w:val="22"/>
        </w:rPr>
        <w:t>and</w:t>
      </w:r>
      <w:r w:rsidR="00A5220C" w:rsidRPr="00BC4373">
        <w:rPr>
          <w:rFonts w:asciiTheme="minorHAnsi" w:eastAsiaTheme="minorHAnsi" w:hAnsiTheme="minorHAnsi" w:cstheme="minorBidi"/>
          <w:sz w:val="22"/>
          <w:szCs w:val="22"/>
        </w:rPr>
        <w:t xml:space="preserve"> Technology </w:t>
      </w:r>
      <w:r w:rsidR="00FF7D00" w:rsidRPr="00FF7D00">
        <w:rPr>
          <w:rFonts w:asciiTheme="minorHAnsi" w:eastAsiaTheme="minorHAnsi" w:hAnsiTheme="minorHAnsi" w:cstheme="minorBidi"/>
          <w:sz w:val="22"/>
          <w:szCs w:val="22"/>
        </w:rPr>
        <w:t xml:space="preserve">of the University </w:t>
      </w:r>
      <w:proofErr w:type="spellStart"/>
      <w:r w:rsidR="00FF7D00" w:rsidRPr="00FF7D00">
        <w:rPr>
          <w:rFonts w:asciiTheme="minorHAnsi" w:eastAsiaTheme="minorHAnsi" w:hAnsiTheme="minorHAnsi" w:cstheme="minorBidi"/>
          <w:sz w:val="22"/>
          <w:szCs w:val="22"/>
        </w:rPr>
        <w:t>Center</w:t>
      </w:r>
      <w:proofErr w:type="spellEnd"/>
      <w:r w:rsidR="00FF7D00" w:rsidRPr="00FF7D00">
        <w:rPr>
          <w:rFonts w:asciiTheme="minorHAnsi" w:eastAsiaTheme="minorHAnsi" w:hAnsiTheme="minorHAnsi" w:cstheme="minorBidi"/>
          <w:sz w:val="22"/>
          <w:szCs w:val="22"/>
        </w:rPr>
        <w:t xml:space="preserve"> of International Programmes of Studies of the International Hellenic University </w:t>
      </w:r>
      <w:r w:rsidR="00A5220C" w:rsidRPr="00BC4373">
        <w:rPr>
          <w:rFonts w:asciiTheme="minorHAnsi" w:eastAsiaTheme="minorHAnsi" w:hAnsiTheme="minorHAnsi" w:cstheme="minorBidi"/>
          <w:sz w:val="22"/>
          <w:szCs w:val="22"/>
        </w:rPr>
        <w:t xml:space="preserve">invites interested parties to apply for the postgraduate programme of studies </w:t>
      </w:r>
      <w:r w:rsidR="00165A00">
        <w:rPr>
          <w:rFonts w:asciiTheme="minorHAnsi" w:eastAsiaTheme="minorHAnsi" w:hAnsiTheme="minorHAnsi" w:cstheme="minorBidi"/>
          <w:sz w:val="22"/>
          <w:szCs w:val="22"/>
        </w:rPr>
        <w:t xml:space="preserve">“MSc in Energy and </w:t>
      </w:r>
      <w:r w:rsidR="00165A00" w:rsidRPr="002C5AF6">
        <w:rPr>
          <w:rFonts w:asciiTheme="minorHAnsi" w:eastAsiaTheme="minorHAnsi" w:hAnsiTheme="minorHAnsi" w:cstheme="minorBidi"/>
          <w:sz w:val="22"/>
          <w:szCs w:val="22"/>
        </w:rPr>
        <w:t>Finance</w:t>
      </w:r>
      <w:r w:rsidR="00A5220C" w:rsidRPr="002C5AF6">
        <w:rPr>
          <w:rFonts w:asciiTheme="minorHAnsi" w:eastAsiaTheme="minorHAnsi" w:hAnsiTheme="minorHAnsi" w:cstheme="minorBidi"/>
          <w:sz w:val="22"/>
          <w:szCs w:val="22"/>
        </w:rPr>
        <w:t xml:space="preserve">” for the academic year </w:t>
      </w:r>
      <w:r w:rsidR="004374EF" w:rsidRPr="002C5AF6">
        <w:rPr>
          <w:rFonts w:asciiTheme="minorHAnsi" w:eastAsiaTheme="minorHAnsi" w:hAnsiTheme="minorHAnsi" w:cstheme="minorBidi"/>
          <w:sz w:val="22"/>
          <w:szCs w:val="22"/>
        </w:rPr>
        <w:t>20</w:t>
      </w:r>
      <w:r w:rsidR="006C4F3D" w:rsidRPr="002C5AF6">
        <w:rPr>
          <w:rFonts w:asciiTheme="minorHAnsi" w:eastAsiaTheme="minorHAnsi" w:hAnsiTheme="minorHAnsi" w:cstheme="minorBidi"/>
          <w:sz w:val="22"/>
          <w:szCs w:val="22"/>
        </w:rPr>
        <w:t>2</w:t>
      </w:r>
      <w:r w:rsidR="008D275A">
        <w:rPr>
          <w:rFonts w:asciiTheme="minorHAnsi" w:eastAsiaTheme="minorHAnsi" w:hAnsiTheme="minorHAnsi" w:cstheme="minorBidi"/>
          <w:sz w:val="22"/>
          <w:szCs w:val="22"/>
          <w:lang w:val="en-US"/>
        </w:rPr>
        <w:t>5</w:t>
      </w:r>
      <w:r w:rsidR="002C1B20">
        <w:rPr>
          <w:rFonts w:asciiTheme="minorHAnsi" w:eastAsiaTheme="minorHAnsi" w:hAnsiTheme="minorHAnsi" w:cstheme="minorBidi"/>
          <w:sz w:val="22"/>
          <w:szCs w:val="22"/>
        </w:rPr>
        <w:t>-202</w:t>
      </w:r>
      <w:r w:rsidR="008D275A">
        <w:rPr>
          <w:rFonts w:asciiTheme="minorHAnsi" w:eastAsiaTheme="minorHAnsi" w:hAnsiTheme="minorHAnsi" w:cstheme="minorBidi"/>
          <w:sz w:val="22"/>
          <w:szCs w:val="22"/>
          <w:lang w:val="en-US"/>
        </w:rPr>
        <w:t>6</w:t>
      </w:r>
      <w:r w:rsidR="00A5220C" w:rsidRPr="002C5AF6">
        <w:rPr>
          <w:rFonts w:asciiTheme="minorHAnsi" w:eastAsiaTheme="minorHAnsi" w:hAnsiTheme="minorHAnsi" w:cstheme="minorBidi"/>
          <w:sz w:val="22"/>
          <w:szCs w:val="22"/>
        </w:rPr>
        <w:t xml:space="preserve">. </w:t>
      </w:r>
      <w:r w:rsidR="00E454DC" w:rsidRPr="002C5AF6">
        <w:rPr>
          <w:rFonts w:asciiTheme="minorHAnsi" w:eastAsiaTheme="minorHAnsi" w:hAnsiTheme="minorHAnsi" w:cstheme="minorBidi"/>
          <w:sz w:val="22"/>
          <w:szCs w:val="22"/>
        </w:rPr>
        <w:t>The courses of the programme are taught exclusively in English from academics from IHU as well as from other Universities in Greece and abroad.</w:t>
      </w:r>
      <w:r w:rsidR="00E454DC" w:rsidRPr="002C5AF6">
        <w:rPr>
          <w:lang w:val="en-US"/>
        </w:rPr>
        <w:t xml:space="preserve"> </w:t>
      </w:r>
      <w:r w:rsidR="00E454DC" w:rsidRPr="00E553DB">
        <w:rPr>
          <w:rFonts w:asciiTheme="minorHAnsi" w:eastAsiaTheme="minorHAnsi" w:hAnsiTheme="minorHAnsi" w:cstheme="minorBidi"/>
          <w:sz w:val="22"/>
          <w:szCs w:val="22"/>
        </w:rPr>
        <w:t xml:space="preserve">Courses can be offered as traditional lectures with physical presence or via remote synchronous and / or asynchronous learning methods.  </w:t>
      </w:r>
    </w:p>
    <w:p w14:paraId="5CD84C7E" w14:textId="555D12E4" w:rsidR="00235D86" w:rsidRPr="00396B0A" w:rsidRDefault="00E553DB" w:rsidP="00396B0A">
      <w:pPr>
        <w:spacing w:after="12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2</w:t>
      </w:r>
      <w:r w:rsidR="00235D86" w:rsidRPr="00396B0A">
        <w:rPr>
          <w:rFonts w:asciiTheme="minorHAnsi" w:eastAsiaTheme="minorHAnsi" w:hAnsiTheme="minorHAnsi" w:cstheme="minorBidi"/>
          <w:sz w:val="22"/>
          <w:szCs w:val="22"/>
        </w:rPr>
        <w:t xml:space="preserve">. The postgraduate studies for this MSc programme lead to the acquisition of a Master’s Degree. The programme curriculum requires the attendance of taught courses for two academic semesters for full-time students and </w:t>
      </w:r>
      <w:r w:rsidR="00A52748">
        <w:rPr>
          <w:rFonts w:asciiTheme="minorHAnsi" w:eastAsiaTheme="minorHAnsi" w:hAnsiTheme="minorHAnsi" w:cstheme="minorBidi"/>
          <w:sz w:val="22"/>
          <w:szCs w:val="22"/>
        </w:rPr>
        <w:t xml:space="preserve">one academic semester for </w:t>
      </w:r>
      <w:r w:rsidR="00235D86" w:rsidRPr="00396B0A">
        <w:rPr>
          <w:rFonts w:asciiTheme="minorHAnsi" w:eastAsiaTheme="minorHAnsi" w:hAnsiTheme="minorHAnsi" w:cstheme="minorBidi"/>
          <w:sz w:val="22"/>
          <w:szCs w:val="22"/>
        </w:rPr>
        <w:t xml:space="preserve">the completion of a </w:t>
      </w:r>
      <w:r w:rsidR="006D3B05" w:rsidRPr="00396B0A">
        <w:rPr>
          <w:rFonts w:asciiTheme="minorHAnsi" w:eastAsiaTheme="minorHAnsi" w:hAnsiTheme="minorHAnsi" w:cstheme="minorBidi"/>
          <w:sz w:val="22"/>
          <w:szCs w:val="22"/>
        </w:rPr>
        <w:t xml:space="preserve">Master’s </w:t>
      </w:r>
      <w:r w:rsidR="00235D86" w:rsidRPr="00396B0A">
        <w:rPr>
          <w:rFonts w:asciiTheme="minorHAnsi" w:eastAsiaTheme="minorHAnsi" w:hAnsiTheme="minorHAnsi" w:cstheme="minorBidi"/>
          <w:sz w:val="22"/>
          <w:szCs w:val="22"/>
        </w:rPr>
        <w:t xml:space="preserve">dissertation. There is also the possibility, upon request, of attending the programme on a part–time basis. In this case, the duration of the MSc will be </w:t>
      </w:r>
      <w:r w:rsidR="00A52748">
        <w:rPr>
          <w:rFonts w:asciiTheme="minorHAnsi" w:eastAsiaTheme="minorHAnsi" w:hAnsiTheme="minorHAnsi" w:cstheme="minorBidi"/>
          <w:sz w:val="22"/>
          <w:szCs w:val="22"/>
        </w:rPr>
        <w:t>four academic semesters and one academic semester for the completion of the dissertation</w:t>
      </w:r>
      <w:r w:rsidR="00235D86" w:rsidRPr="00396B0A">
        <w:rPr>
          <w:rFonts w:asciiTheme="minorHAnsi" w:eastAsiaTheme="minorHAnsi" w:hAnsiTheme="minorHAnsi" w:cstheme="minorBidi"/>
          <w:sz w:val="22"/>
          <w:szCs w:val="22"/>
        </w:rPr>
        <w:t>.</w:t>
      </w:r>
    </w:p>
    <w:p w14:paraId="70FB5690" w14:textId="1EA3FD16" w:rsidR="00235D86" w:rsidRPr="00396B0A" w:rsidRDefault="00E553DB" w:rsidP="00901E1F">
      <w:pPr>
        <w:spacing w:after="12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3</w:t>
      </w:r>
      <w:r w:rsidR="00235D86" w:rsidRPr="00396B0A">
        <w:rPr>
          <w:rFonts w:asciiTheme="minorHAnsi" w:eastAsiaTheme="minorHAnsi" w:hAnsiTheme="minorHAnsi" w:cstheme="minorBidi"/>
          <w:sz w:val="22"/>
          <w:szCs w:val="22"/>
        </w:rPr>
        <w:t>. The International Hellenic University accepts, after a careful selection process,</w:t>
      </w:r>
      <w:r w:rsidR="00901E1F">
        <w:rPr>
          <w:rFonts w:asciiTheme="minorHAnsi" w:eastAsiaTheme="minorHAnsi" w:hAnsiTheme="minorHAnsi" w:cstheme="minorBidi"/>
          <w:sz w:val="22"/>
          <w:szCs w:val="22"/>
        </w:rPr>
        <w:t xml:space="preserve"> </w:t>
      </w:r>
      <w:r w:rsidR="00235D86" w:rsidRPr="00396B0A">
        <w:rPr>
          <w:rFonts w:asciiTheme="minorHAnsi" w:eastAsiaTheme="minorHAnsi" w:hAnsiTheme="minorHAnsi" w:cstheme="minorBidi"/>
          <w:sz w:val="22"/>
          <w:szCs w:val="22"/>
        </w:rPr>
        <w:t>graduates from Greek universities or equivalent institutions from abroad, as well as</w:t>
      </w:r>
      <w:r w:rsidR="00901E1F">
        <w:rPr>
          <w:rFonts w:asciiTheme="minorHAnsi" w:eastAsiaTheme="minorHAnsi" w:hAnsiTheme="minorHAnsi" w:cstheme="minorBidi"/>
          <w:sz w:val="22"/>
          <w:szCs w:val="22"/>
        </w:rPr>
        <w:t xml:space="preserve"> </w:t>
      </w:r>
      <w:r w:rsidR="00235D86" w:rsidRPr="00396B0A">
        <w:rPr>
          <w:rFonts w:asciiTheme="minorHAnsi" w:eastAsiaTheme="minorHAnsi" w:hAnsiTheme="minorHAnsi" w:cstheme="minorBidi"/>
          <w:sz w:val="22"/>
          <w:szCs w:val="22"/>
        </w:rPr>
        <w:t xml:space="preserve">from Greek Technological Educational </w:t>
      </w:r>
      <w:r w:rsidR="0072439E" w:rsidRPr="00396B0A">
        <w:rPr>
          <w:rFonts w:asciiTheme="minorHAnsi" w:eastAsiaTheme="minorHAnsi" w:hAnsiTheme="minorHAnsi" w:cstheme="minorBidi"/>
          <w:sz w:val="22"/>
          <w:szCs w:val="22"/>
        </w:rPr>
        <w:t xml:space="preserve">Institutes </w:t>
      </w:r>
      <w:r w:rsidR="00235D86" w:rsidRPr="00396B0A">
        <w:rPr>
          <w:rFonts w:asciiTheme="minorHAnsi" w:eastAsiaTheme="minorHAnsi" w:hAnsiTheme="minorHAnsi" w:cstheme="minorBidi"/>
          <w:sz w:val="22"/>
          <w:szCs w:val="22"/>
        </w:rPr>
        <w:t xml:space="preserve">in related subject areas </w:t>
      </w:r>
      <w:r w:rsidR="004374EF" w:rsidRPr="00344ADC">
        <w:rPr>
          <w:rFonts w:asciiTheme="minorHAnsi" w:eastAsiaTheme="minorHAnsi" w:hAnsiTheme="minorHAnsi" w:cstheme="minorBidi"/>
          <w:sz w:val="22"/>
          <w:szCs w:val="22"/>
        </w:rPr>
        <w:t xml:space="preserve">according to Law </w:t>
      </w:r>
      <w:r w:rsidR="00344ADC" w:rsidRPr="00344ADC">
        <w:rPr>
          <w:rFonts w:asciiTheme="minorHAnsi" w:eastAsiaTheme="minorHAnsi" w:hAnsiTheme="minorHAnsi" w:cstheme="minorBidi"/>
          <w:sz w:val="22"/>
          <w:szCs w:val="22"/>
        </w:rPr>
        <w:t>4610/2019</w:t>
      </w:r>
      <w:r w:rsidR="006D0B3E">
        <w:rPr>
          <w:rFonts w:asciiTheme="minorHAnsi" w:eastAsiaTheme="minorHAnsi" w:hAnsiTheme="minorHAnsi" w:cstheme="minorBidi"/>
          <w:sz w:val="22"/>
          <w:szCs w:val="22"/>
        </w:rPr>
        <w:t xml:space="preserve"> and 4957/2022</w:t>
      </w:r>
      <w:r w:rsidR="00344ADC" w:rsidRPr="00344ADC">
        <w:rPr>
          <w:rFonts w:asciiTheme="minorHAnsi" w:eastAsiaTheme="minorHAnsi" w:hAnsiTheme="minorHAnsi" w:cstheme="minorBidi"/>
          <w:sz w:val="22"/>
          <w:szCs w:val="22"/>
        </w:rPr>
        <w:t>, as applicable</w:t>
      </w:r>
      <w:r w:rsidR="00235D86" w:rsidRPr="00396B0A">
        <w:rPr>
          <w:rFonts w:asciiTheme="minorHAnsi" w:eastAsiaTheme="minorHAnsi" w:hAnsiTheme="minorHAnsi" w:cstheme="minorBidi"/>
          <w:sz w:val="22"/>
          <w:szCs w:val="22"/>
        </w:rPr>
        <w:t>.</w:t>
      </w:r>
    </w:p>
    <w:p w14:paraId="7534B584" w14:textId="2B96C12E" w:rsidR="00235D86" w:rsidRPr="002C5AF6" w:rsidRDefault="00E553DB" w:rsidP="00235D86">
      <w:pPr>
        <w:spacing w:after="200"/>
        <w:rPr>
          <w:rFonts w:cs="Arial"/>
          <w:sz w:val="22"/>
          <w:szCs w:val="22"/>
          <w:lang w:val="en-US"/>
        </w:rPr>
      </w:pPr>
      <w:r>
        <w:rPr>
          <w:rFonts w:asciiTheme="minorHAnsi" w:eastAsiaTheme="minorHAnsi" w:hAnsiTheme="minorHAnsi" w:cstheme="minorBidi"/>
          <w:sz w:val="22"/>
          <w:szCs w:val="22"/>
        </w:rPr>
        <w:t>4</w:t>
      </w:r>
      <w:r w:rsidR="00235D86" w:rsidRPr="00396B0A">
        <w:rPr>
          <w:rFonts w:asciiTheme="minorHAnsi" w:eastAsiaTheme="minorHAnsi" w:hAnsiTheme="minorHAnsi" w:cstheme="minorBidi"/>
          <w:sz w:val="22"/>
          <w:szCs w:val="22"/>
        </w:rPr>
        <w:t xml:space="preserve">. </w:t>
      </w:r>
      <w:r w:rsidR="00235D86" w:rsidRPr="00A5220C">
        <w:rPr>
          <w:rFonts w:asciiTheme="minorHAnsi" w:eastAsiaTheme="minorHAnsi" w:hAnsiTheme="minorHAnsi" w:cstheme="minorBidi"/>
          <w:sz w:val="22"/>
          <w:szCs w:val="22"/>
        </w:rPr>
        <w:t xml:space="preserve">The “MSc in Energy </w:t>
      </w:r>
      <w:r w:rsidR="00165A00">
        <w:rPr>
          <w:rFonts w:asciiTheme="minorHAnsi" w:eastAsiaTheme="minorHAnsi" w:hAnsiTheme="minorHAnsi" w:cstheme="minorBidi"/>
          <w:sz w:val="22"/>
          <w:szCs w:val="22"/>
        </w:rPr>
        <w:t xml:space="preserve">and Finance” aims to provide </w:t>
      </w:r>
      <w:r w:rsidR="006D3B05" w:rsidRPr="00A5220C">
        <w:rPr>
          <w:rFonts w:asciiTheme="minorHAnsi" w:eastAsiaTheme="minorHAnsi" w:hAnsiTheme="minorHAnsi" w:cstheme="minorBidi"/>
          <w:sz w:val="22"/>
          <w:szCs w:val="22"/>
        </w:rPr>
        <w:t>post</w:t>
      </w:r>
      <w:r w:rsidR="00235D86" w:rsidRPr="00A5220C">
        <w:rPr>
          <w:rFonts w:asciiTheme="minorHAnsi" w:eastAsiaTheme="minorHAnsi" w:hAnsiTheme="minorHAnsi" w:cstheme="minorBidi"/>
          <w:sz w:val="22"/>
          <w:szCs w:val="22"/>
        </w:rPr>
        <w:t>graduate level education</w:t>
      </w:r>
      <w:r w:rsidR="00165A00">
        <w:rPr>
          <w:rFonts w:asciiTheme="minorHAnsi" w:eastAsiaTheme="minorHAnsi" w:hAnsiTheme="minorHAnsi" w:cstheme="minorBidi"/>
          <w:sz w:val="22"/>
          <w:szCs w:val="22"/>
        </w:rPr>
        <w:t xml:space="preserve"> in the fields of energy and finance</w:t>
      </w:r>
      <w:r w:rsidR="00235D86" w:rsidRPr="00A5220C">
        <w:rPr>
          <w:rFonts w:asciiTheme="minorHAnsi" w:eastAsiaTheme="minorHAnsi" w:hAnsiTheme="minorHAnsi" w:cstheme="minorBidi"/>
          <w:sz w:val="22"/>
          <w:szCs w:val="22"/>
        </w:rPr>
        <w:t xml:space="preserve"> </w:t>
      </w:r>
      <w:r w:rsidR="00235D86" w:rsidRPr="004C3A16">
        <w:rPr>
          <w:rFonts w:asciiTheme="minorHAnsi" w:eastAsiaTheme="minorHAnsi" w:hAnsiTheme="minorHAnsi" w:cstheme="minorHAnsi"/>
          <w:sz w:val="22"/>
          <w:szCs w:val="22"/>
        </w:rPr>
        <w:t xml:space="preserve">and is targeted towards </w:t>
      </w:r>
      <w:r w:rsidR="00235D86" w:rsidRPr="002C5AF6">
        <w:rPr>
          <w:rFonts w:asciiTheme="minorHAnsi" w:eastAsiaTheme="minorHAnsi" w:hAnsiTheme="minorHAnsi" w:cstheme="minorHAnsi"/>
          <w:sz w:val="22"/>
          <w:szCs w:val="22"/>
        </w:rPr>
        <w:t xml:space="preserve">University </w:t>
      </w:r>
      <w:r w:rsidR="004C3A16" w:rsidRPr="002C5AF6">
        <w:rPr>
          <w:rFonts w:asciiTheme="minorHAnsi" w:hAnsiTheme="minorHAnsi" w:cstheme="minorHAnsi"/>
          <w:sz w:val="22"/>
          <w:szCs w:val="22"/>
        </w:rPr>
        <w:t xml:space="preserve">graduates including professionals </w:t>
      </w:r>
      <w:r w:rsidR="00165A00" w:rsidRPr="002C5AF6">
        <w:rPr>
          <w:rFonts w:asciiTheme="minorHAnsi" w:eastAsiaTheme="minorHAnsi" w:hAnsiTheme="minorHAnsi" w:cstheme="minorHAnsi"/>
          <w:sz w:val="22"/>
          <w:szCs w:val="22"/>
        </w:rPr>
        <w:t>who wish to</w:t>
      </w:r>
      <w:r w:rsidR="00165A00" w:rsidRPr="002C5AF6">
        <w:rPr>
          <w:rFonts w:asciiTheme="minorHAnsi" w:eastAsiaTheme="minorHAnsi" w:hAnsiTheme="minorHAnsi" w:cstheme="minorBidi"/>
          <w:sz w:val="22"/>
          <w:szCs w:val="22"/>
        </w:rPr>
        <w:t xml:space="preserve"> acquire specialized knowledge in these fields</w:t>
      </w:r>
      <w:r w:rsidR="00235D86" w:rsidRPr="002C5AF6">
        <w:rPr>
          <w:rFonts w:asciiTheme="minorHAnsi" w:hAnsiTheme="minorHAnsi" w:cs="Arial"/>
          <w:sz w:val="22"/>
          <w:szCs w:val="22"/>
          <w:lang w:val="en-US"/>
        </w:rPr>
        <w:t>.</w:t>
      </w:r>
    </w:p>
    <w:p w14:paraId="022475AE" w14:textId="63C7089E" w:rsidR="00235D86" w:rsidRPr="00396B0A" w:rsidRDefault="00E553DB" w:rsidP="00901E1F">
      <w:pPr>
        <w:spacing w:after="12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5</w:t>
      </w:r>
      <w:r w:rsidR="00235D86" w:rsidRPr="00A5220C">
        <w:rPr>
          <w:rFonts w:asciiTheme="minorHAnsi" w:eastAsiaTheme="minorHAnsi" w:hAnsiTheme="minorHAnsi" w:cstheme="minorBidi"/>
          <w:sz w:val="22"/>
          <w:szCs w:val="22"/>
        </w:rPr>
        <w:t>. The selection of postgraduate students will be undertaken in accordance with the</w:t>
      </w:r>
      <w:r w:rsidR="00901E1F" w:rsidRPr="00A5220C">
        <w:rPr>
          <w:rFonts w:asciiTheme="minorHAnsi" w:eastAsiaTheme="minorHAnsi" w:hAnsiTheme="minorHAnsi" w:cstheme="minorBidi"/>
          <w:sz w:val="22"/>
          <w:szCs w:val="22"/>
        </w:rPr>
        <w:t xml:space="preserve"> </w:t>
      </w:r>
      <w:r w:rsidR="00235D86" w:rsidRPr="00A5220C">
        <w:rPr>
          <w:rFonts w:asciiTheme="minorHAnsi" w:eastAsiaTheme="minorHAnsi" w:hAnsiTheme="minorHAnsi" w:cstheme="minorBidi"/>
          <w:sz w:val="22"/>
          <w:szCs w:val="22"/>
        </w:rPr>
        <w:t>provisions of current legislation based on the relevance of the subject of the candidate’s first degree with respect to the subject area of the postgraduate programme, the grades received in first degree qualifications, the grades received on</w:t>
      </w:r>
      <w:r w:rsidR="00901E1F" w:rsidRPr="00A5220C">
        <w:rPr>
          <w:rFonts w:asciiTheme="minorHAnsi" w:eastAsiaTheme="minorHAnsi" w:hAnsiTheme="minorHAnsi" w:cstheme="minorBidi"/>
          <w:sz w:val="22"/>
          <w:szCs w:val="22"/>
        </w:rPr>
        <w:t xml:space="preserve"> </w:t>
      </w:r>
      <w:r w:rsidR="00235D86" w:rsidRPr="00A5220C">
        <w:rPr>
          <w:rFonts w:asciiTheme="minorHAnsi" w:eastAsiaTheme="minorHAnsi" w:hAnsiTheme="minorHAnsi" w:cstheme="minorBidi"/>
          <w:sz w:val="22"/>
          <w:szCs w:val="22"/>
        </w:rPr>
        <w:t xml:space="preserve">the thesis and undergraduate courses related to the </w:t>
      </w:r>
      <w:r w:rsidR="0005751F" w:rsidRPr="00A5220C">
        <w:rPr>
          <w:rFonts w:asciiTheme="minorHAnsi" w:eastAsiaTheme="minorHAnsi" w:hAnsiTheme="minorHAnsi" w:cstheme="minorBidi"/>
          <w:sz w:val="22"/>
          <w:szCs w:val="22"/>
        </w:rPr>
        <w:t>“</w:t>
      </w:r>
      <w:r w:rsidR="00235D86" w:rsidRPr="00A5220C">
        <w:rPr>
          <w:rFonts w:asciiTheme="minorHAnsi" w:eastAsiaTheme="minorHAnsi" w:hAnsiTheme="minorHAnsi" w:cstheme="minorBidi"/>
          <w:sz w:val="22"/>
          <w:szCs w:val="22"/>
        </w:rPr>
        <w:t xml:space="preserve">MSc </w:t>
      </w:r>
      <w:r w:rsidR="0005751F" w:rsidRPr="00A5220C">
        <w:rPr>
          <w:rFonts w:asciiTheme="minorHAnsi" w:eastAsiaTheme="minorHAnsi" w:hAnsiTheme="minorHAnsi" w:cstheme="minorBidi"/>
          <w:sz w:val="22"/>
          <w:szCs w:val="22"/>
        </w:rPr>
        <w:t xml:space="preserve">in </w:t>
      </w:r>
      <w:r w:rsidR="00235D86" w:rsidRPr="00A5220C">
        <w:rPr>
          <w:rFonts w:asciiTheme="minorHAnsi" w:eastAsiaTheme="minorHAnsi" w:hAnsiTheme="minorHAnsi" w:cstheme="minorBidi"/>
          <w:sz w:val="22"/>
          <w:szCs w:val="22"/>
        </w:rPr>
        <w:t xml:space="preserve">Energy </w:t>
      </w:r>
      <w:r w:rsidR="006C4F3D">
        <w:rPr>
          <w:rFonts w:asciiTheme="minorHAnsi" w:eastAsiaTheme="minorHAnsi" w:hAnsiTheme="minorHAnsi" w:cstheme="minorBidi"/>
          <w:sz w:val="22"/>
          <w:szCs w:val="22"/>
        </w:rPr>
        <w:t>and Finance</w:t>
      </w:r>
      <w:r w:rsidR="00235D86" w:rsidRPr="00A5220C">
        <w:rPr>
          <w:rFonts w:asciiTheme="minorHAnsi" w:eastAsiaTheme="minorHAnsi" w:hAnsiTheme="minorHAnsi" w:cstheme="minorBidi"/>
          <w:sz w:val="22"/>
          <w:szCs w:val="22"/>
        </w:rPr>
        <w:t xml:space="preserve">”, the candidate’s certified proficiency in </w:t>
      </w:r>
      <w:r w:rsidR="00235D86" w:rsidRPr="00396B0A">
        <w:rPr>
          <w:rFonts w:asciiTheme="minorHAnsi" w:eastAsiaTheme="minorHAnsi" w:hAnsiTheme="minorHAnsi" w:cstheme="minorBidi"/>
          <w:sz w:val="22"/>
          <w:szCs w:val="22"/>
        </w:rPr>
        <w:t xml:space="preserve">the English language, the candidate’s curriculum vitae and </w:t>
      </w:r>
      <w:r w:rsidR="00B1638B">
        <w:rPr>
          <w:rFonts w:asciiTheme="minorHAnsi" w:eastAsiaTheme="minorHAnsi" w:hAnsiTheme="minorHAnsi" w:cstheme="minorBidi"/>
          <w:sz w:val="22"/>
          <w:szCs w:val="22"/>
        </w:rPr>
        <w:t>recommendation</w:t>
      </w:r>
      <w:r w:rsidR="00235D86" w:rsidRPr="00396B0A">
        <w:rPr>
          <w:rFonts w:asciiTheme="minorHAnsi" w:eastAsiaTheme="minorHAnsi" w:hAnsiTheme="minorHAnsi" w:cstheme="minorBidi"/>
          <w:sz w:val="22"/>
          <w:szCs w:val="22"/>
        </w:rPr>
        <w:t xml:space="preserve"> letters.</w:t>
      </w:r>
    </w:p>
    <w:p w14:paraId="1B1E1995" w14:textId="1A013686" w:rsidR="00677C66" w:rsidRDefault="00E553DB" w:rsidP="00677C66">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6</w:t>
      </w:r>
      <w:r w:rsidR="00235D86" w:rsidRPr="00344ADC">
        <w:rPr>
          <w:rFonts w:asciiTheme="minorHAnsi" w:eastAsiaTheme="minorHAnsi" w:hAnsiTheme="minorHAnsi" w:cstheme="minorBidi"/>
          <w:sz w:val="22"/>
          <w:szCs w:val="22"/>
        </w:rPr>
        <w:t>.</w:t>
      </w:r>
      <w:r w:rsidR="00235D86" w:rsidRPr="00344ADC">
        <w:rPr>
          <w:sz w:val="22"/>
          <w:szCs w:val="22"/>
        </w:rPr>
        <w:t xml:space="preserve"> </w:t>
      </w:r>
      <w:r w:rsidR="00155320" w:rsidRPr="00344ADC">
        <w:rPr>
          <w:rFonts w:asciiTheme="minorHAnsi" w:hAnsiTheme="minorHAnsi"/>
          <w:sz w:val="22"/>
          <w:szCs w:val="22"/>
        </w:rPr>
        <w:t xml:space="preserve">Interested parties are invited to submit </w:t>
      </w:r>
      <w:r w:rsidR="0003037C" w:rsidRPr="0003037C">
        <w:rPr>
          <w:rFonts w:asciiTheme="minorHAnsi" w:hAnsiTheme="minorHAnsi"/>
          <w:sz w:val="22"/>
          <w:szCs w:val="22"/>
        </w:rPr>
        <w:t>an electronic application through</w:t>
      </w:r>
      <w:r w:rsidR="0003037C">
        <w:rPr>
          <w:rFonts w:asciiTheme="minorHAnsi" w:hAnsiTheme="minorHAnsi"/>
          <w:sz w:val="22"/>
          <w:szCs w:val="22"/>
        </w:rPr>
        <w:t xml:space="preserve"> </w:t>
      </w:r>
      <w:hyperlink r:id="rId11" w:history="1">
        <w:r w:rsidR="0003037C" w:rsidRPr="00821689">
          <w:rPr>
            <w:rStyle w:val="Hyperlink"/>
            <w:rFonts w:asciiTheme="minorHAnsi" w:hAnsiTheme="minorHAnsi"/>
            <w:sz w:val="22"/>
            <w:szCs w:val="22"/>
          </w:rPr>
          <w:t>https://apply.ihu.edu.gr/</w:t>
        </w:r>
      </w:hyperlink>
      <w:r w:rsidR="0003037C">
        <w:rPr>
          <w:rFonts w:asciiTheme="minorHAnsi" w:hAnsiTheme="minorHAnsi"/>
          <w:sz w:val="22"/>
          <w:szCs w:val="22"/>
        </w:rPr>
        <w:t xml:space="preserve"> </w:t>
      </w:r>
      <w:r w:rsidR="008D275A" w:rsidRPr="008D275A">
        <w:rPr>
          <w:rFonts w:asciiTheme="minorHAnsi" w:hAnsiTheme="minorHAnsi"/>
          <w:sz w:val="22"/>
          <w:szCs w:val="22"/>
        </w:rPr>
        <w:t xml:space="preserve">by </w:t>
      </w:r>
      <w:r w:rsidR="00624735">
        <w:rPr>
          <w:rFonts w:asciiTheme="minorHAnsi" w:hAnsiTheme="minorHAnsi"/>
          <w:b/>
          <w:bCs/>
          <w:sz w:val="22"/>
          <w:szCs w:val="22"/>
          <w:lang w:val="en-US"/>
        </w:rPr>
        <w:t>September</w:t>
      </w:r>
      <w:r w:rsidR="008D275A" w:rsidRPr="00624735">
        <w:rPr>
          <w:rFonts w:asciiTheme="minorHAnsi" w:hAnsiTheme="minorHAnsi"/>
          <w:b/>
          <w:bCs/>
          <w:sz w:val="22"/>
          <w:szCs w:val="22"/>
        </w:rPr>
        <w:t xml:space="preserve"> </w:t>
      </w:r>
      <w:r w:rsidR="005F2506" w:rsidRPr="005F2506">
        <w:rPr>
          <w:rFonts w:asciiTheme="minorHAnsi" w:hAnsiTheme="minorHAnsi"/>
          <w:b/>
          <w:bCs/>
          <w:sz w:val="22"/>
          <w:szCs w:val="22"/>
          <w:lang w:val="en-US"/>
        </w:rPr>
        <w:t>30</w:t>
      </w:r>
      <w:proofErr w:type="spellStart"/>
      <w:r w:rsidR="008D275A" w:rsidRPr="00624735">
        <w:rPr>
          <w:rFonts w:asciiTheme="minorHAnsi" w:hAnsiTheme="minorHAnsi"/>
          <w:b/>
          <w:bCs/>
          <w:sz w:val="22"/>
          <w:szCs w:val="22"/>
        </w:rPr>
        <w:t>th</w:t>
      </w:r>
      <w:proofErr w:type="spellEnd"/>
      <w:r w:rsidR="008D275A" w:rsidRPr="008D275A">
        <w:rPr>
          <w:rFonts w:asciiTheme="minorHAnsi" w:hAnsiTheme="minorHAnsi"/>
          <w:sz w:val="22"/>
          <w:szCs w:val="22"/>
        </w:rPr>
        <w:t xml:space="preserve">, </w:t>
      </w:r>
      <w:proofErr w:type="gramStart"/>
      <w:r w:rsidR="008D275A" w:rsidRPr="008D275A">
        <w:rPr>
          <w:rFonts w:asciiTheme="minorHAnsi" w:hAnsiTheme="minorHAnsi"/>
          <w:sz w:val="22"/>
          <w:szCs w:val="22"/>
        </w:rPr>
        <w:t>2025</w:t>
      </w:r>
      <w:proofErr w:type="gramEnd"/>
      <w:r w:rsidR="0003037C">
        <w:rPr>
          <w:rFonts w:asciiTheme="minorHAnsi" w:hAnsiTheme="minorHAnsi"/>
          <w:sz w:val="22"/>
          <w:szCs w:val="22"/>
        </w:rPr>
        <w:t xml:space="preserve"> o</w:t>
      </w:r>
      <w:r w:rsidR="004374EF" w:rsidRPr="00344ADC">
        <w:rPr>
          <w:rFonts w:asciiTheme="minorHAnsi" w:hAnsiTheme="minorHAnsi"/>
          <w:sz w:val="22"/>
          <w:szCs w:val="22"/>
        </w:rPr>
        <w:t>r until places are filled</w:t>
      </w:r>
      <w:r w:rsidR="00ED519F">
        <w:rPr>
          <w:rFonts w:asciiTheme="minorHAnsi" w:eastAsiaTheme="minorHAnsi" w:hAnsiTheme="minorHAnsi" w:cstheme="minorBidi"/>
          <w:sz w:val="22"/>
          <w:szCs w:val="22"/>
        </w:rPr>
        <w:t>.</w:t>
      </w:r>
      <w:r w:rsidR="0003037C">
        <w:rPr>
          <w:rFonts w:asciiTheme="minorHAnsi" w:eastAsiaTheme="minorHAnsi" w:hAnsiTheme="minorHAnsi" w:cstheme="minorBidi"/>
          <w:sz w:val="22"/>
          <w:szCs w:val="22"/>
        </w:rPr>
        <w:t xml:space="preserve"> </w:t>
      </w:r>
      <w:r w:rsidR="00677C66" w:rsidRPr="00396B0A">
        <w:rPr>
          <w:rFonts w:asciiTheme="minorHAnsi" w:eastAsiaTheme="minorHAnsi" w:hAnsiTheme="minorHAnsi" w:cstheme="minorBidi"/>
          <w:sz w:val="22"/>
          <w:szCs w:val="22"/>
        </w:rPr>
        <w:t>Application documentation must include the following:</w:t>
      </w:r>
    </w:p>
    <w:p w14:paraId="1514DFBF" w14:textId="77777777" w:rsidR="0003037C" w:rsidRDefault="0003037C" w:rsidP="00677C66">
      <w:pPr>
        <w:spacing w:line="276" w:lineRule="auto"/>
        <w:rPr>
          <w:rFonts w:asciiTheme="minorHAnsi" w:eastAsiaTheme="minorHAnsi" w:hAnsiTheme="minorHAnsi" w:cstheme="minorBidi"/>
          <w:sz w:val="22"/>
          <w:szCs w:val="22"/>
        </w:rPr>
      </w:pPr>
    </w:p>
    <w:p w14:paraId="71C4B811" w14:textId="3DBA9035" w:rsidR="0003037C" w:rsidRPr="00974C80" w:rsidRDefault="0003037C" w:rsidP="00974C80">
      <w:pPr>
        <w:pStyle w:val="Default"/>
        <w:numPr>
          <w:ilvl w:val="0"/>
          <w:numId w:val="3"/>
        </w:numPr>
        <w:spacing w:after="69"/>
        <w:ind w:left="709" w:hanging="709"/>
        <w:jc w:val="both"/>
        <w:rPr>
          <w:sz w:val="22"/>
          <w:szCs w:val="22"/>
          <w:lang w:val="en-US"/>
        </w:rPr>
      </w:pPr>
      <w:r w:rsidRPr="00974C80">
        <w:rPr>
          <w:sz w:val="22"/>
          <w:szCs w:val="22"/>
          <w:lang w:val="en-US"/>
        </w:rPr>
        <w:t xml:space="preserve">Copy of degrees (University degree, other postgraduate degree, etc.). </w:t>
      </w:r>
    </w:p>
    <w:p w14:paraId="22D66069" w14:textId="6528161C" w:rsidR="0003037C" w:rsidRPr="00421E7E" w:rsidRDefault="0003037C" w:rsidP="00421E7E">
      <w:pPr>
        <w:pStyle w:val="Default"/>
        <w:numPr>
          <w:ilvl w:val="0"/>
          <w:numId w:val="3"/>
        </w:numPr>
        <w:spacing w:after="69"/>
        <w:ind w:left="709" w:hanging="709"/>
        <w:jc w:val="both"/>
        <w:rPr>
          <w:sz w:val="22"/>
          <w:szCs w:val="22"/>
          <w:lang w:val="en-US"/>
        </w:rPr>
      </w:pPr>
      <w:r w:rsidRPr="00421E7E">
        <w:rPr>
          <w:sz w:val="22"/>
          <w:szCs w:val="22"/>
          <w:lang w:val="en-US"/>
        </w:rPr>
        <w:t>Copy of the transcript of grades of all years of undergraduate as well as any postgraduate studies.</w:t>
      </w:r>
      <w:r w:rsidR="00F26EEC" w:rsidRPr="00421E7E">
        <w:rPr>
          <w:sz w:val="22"/>
          <w:szCs w:val="22"/>
          <w:lang w:val="en-US"/>
        </w:rPr>
        <w:t xml:space="preserve"> Foreign institutions and their degree types should be included in National Registry of Recognized Foreign Higher Education Institutes and in the National Registry of Foreign Recognized Academic Title Types of the Hellenic National Academic Recognition and Information Center (Hellenic NARIC), according to Law 4957/2022 as amended by Law 5029/2023</w:t>
      </w:r>
      <w:r w:rsidR="00F26EEC" w:rsidRPr="00421E7E">
        <w:rPr>
          <w:sz w:val="22"/>
          <w:szCs w:val="22"/>
          <w:lang w:val="en-US"/>
        </w:rPr>
        <w:footnoteReference w:id="1"/>
      </w:r>
      <w:r w:rsidR="00F26EEC" w:rsidRPr="00421E7E">
        <w:rPr>
          <w:sz w:val="22"/>
          <w:szCs w:val="22"/>
          <w:lang w:val="en-US"/>
        </w:rPr>
        <w:t>.</w:t>
      </w:r>
    </w:p>
    <w:p w14:paraId="153D55EB" w14:textId="3E469307" w:rsidR="0003037C" w:rsidRPr="00F609B5" w:rsidRDefault="0003037C" w:rsidP="0003037C">
      <w:pPr>
        <w:pStyle w:val="Default"/>
        <w:numPr>
          <w:ilvl w:val="0"/>
          <w:numId w:val="3"/>
        </w:numPr>
        <w:spacing w:after="69"/>
        <w:ind w:left="709" w:hanging="709"/>
        <w:jc w:val="both"/>
        <w:rPr>
          <w:sz w:val="22"/>
          <w:szCs w:val="22"/>
          <w:lang w:val="en-US"/>
        </w:rPr>
      </w:pPr>
      <w:r w:rsidRPr="00AE63DF">
        <w:rPr>
          <w:sz w:val="22"/>
          <w:szCs w:val="22"/>
          <w:lang w:val="en-US"/>
        </w:rPr>
        <w:t xml:space="preserve">English language </w:t>
      </w:r>
      <w:r>
        <w:rPr>
          <w:sz w:val="22"/>
          <w:szCs w:val="22"/>
          <w:lang w:val="en-US"/>
        </w:rPr>
        <w:t>competency</w:t>
      </w:r>
      <w:r w:rsidRPr="00AE63DF">
        <w:rPr>
          <w:sz w:val="22"/>
          <w:szCs w:val="22"/>
          <w:lang w:val="en-US"/>
        </w:rPr>
        <w:t xml:space="preserve"> documented with a relevant certificate, corresponding at least to the </w:t>
      </w:r>
      <w:r w:rsidRPr="00F609B5">
        <w:rPr>
          <w:sz w:val="22"/>
          <w:szCs w:val="22"/>
          <w:lang w:val="en-US"/>
        </w:rPr>
        <w:t>State Certifica</w:t>
      </w:r>
      <w:r w:rsidR="004C6F5B">
        <w:rPr>
          <w:sz w:val="22"/>
          <w:szCs w:val="22"/>
          <w:lang w:val="en-US"/>
        </w:rPr>
        <w:t>te of Language Learning Level C1</w:t>
      </w:r>
      <w:r w:rsidRPr="00F609B5">
        <w:rPr>
          <w:sz w:val="22"/>
          <w:szCs w:val="22"/>
          <w:lang w:val="en-US"/>
        </w:rPr>
        <w:t xml:space="preserve"> or other certificate proving good knowledge of the English language. Holders of an undergraduate or postgraduate degree at a Foreign University in English language are exempt from this obligation. </w:t>
      </w:r>
    </w:p>
    <w:p w14:paraId="6D15CD91" w14:textId="3AEF494D" w:rsidR="0003037C" w:rsidRPr="00F609B5" w:rsidRDefault="0003037C" w:rsidP="0003037C">
      <w:pPr>
        <w:pStyle w:val="Default"/>
        <w:numPr>
          <w:ilvl w:val="0"/>
          <w:numId w:val="3"/>
        </w:numPr>
        <w:spacing w:after="69"/>
        <w:ind w:left="709" w:hanging="709"/>
        <w:jc w:val="both"/>
        <w:rPr>
          <w:sz w:val="22"/>
          <w:szCs w:val="22"/>
          <w:lang w:val="en-US"/>
        </w:rPr>
      </w:pPr>
      <w:r w:rsidRPr="00AE63DF">
        <w:rPr>
          <w:sz w:val="22"/>
          <w:szCs w:val="22"/>
          <w:lang w:val="en-US"/>
        </w:rPr>
        <w:t xml:space="preserve">At least two (2) recommendation letters. </w:t>
      </w:r>
      <w:r>
        <w:rPr>
          <w:sz w:val="22"/>
          <w:szCs w:val="22"/>
          <w:lang w:val="en-US"/>
        </w:rPr>
        <w:t>The l</w:t>
      </w:r>
      <w:r w:rsidRPr="00AE63DF">
        <w:rPr>
          <w:sz w:val="22"/>
          <w:szCs w:val="22"/>
          <w:lang w:val="en-US"/>
        </w:rPr>
        <w:t>etters must be signed by facul</w:t>
      </w:r>
      <w:r w:rsidR="00191C4D">
        <w:rPr>
          <w:sz w:val="22"/>
          <w:szCs w:val="22"/>
          <w:lang w:val="en-US"/>
        </w:rPr>
        <w:t>ty members of the</w:t>
      </w:r>
      <w:r>
        <w:rPr>
          <w:sz w:val="22"/>
          <w:szCs w:val="22"/>
          <w:lang w:val="en-US"/>
        </w:rPr>
        <w:t xml:space="preserve"> </w:t>
      </w:r>
      <w:r w:rsidRPr="00F609B5">
        <w:rPr>
          <w:sz w:val="22"/>
          <w:szCs w:val="22"/>
          <w:lang w:val="en-US"/>
        </w:rPr>
        <w:t xml:space="preserve">candidate’s university or by academics from other educational institutions that are familiar with </w:t>
      </w:r>
      <w:proofErr w:type="gramStart"/>
      <w:r w:rsidRPr="00F609B5">
        <w:rPr>
          <w:sz w:val="22"/>
          <w:szCs w:val="22"/>
          <w:lang w:val="en-US"/>
        </w:rPr>
        <w:t xml:space="preserve">the </w:t>
      </w:r>
      <w:r>
        <w:rPr>
          <w:sz w:val="22"/>
          <w:szCs w:val="22"/>
          <w:lang w:val="en-US"/>
        </w:rPr>
        <w:t xml:space="preserve"> </w:t>
      </w:r>
      <w:r w:rsidRPr="00F609B5">
        <w:rPr>
          <w:sz w:val="22"/>
          <w:szCs w:val="22"/>
          <w:lang w:val="en-US"/>
        </w:rPr>
        <w:t>candidate's</w:t>
      </w:r>
      <w:proofErr w:type="gramEnd"/>
      <w:r w:rsidRPr="00F609B5">
        <w:rPr>
          <w:sz w:val="22"/>
          <w:szCs w:val="22"/>
          <w:lang w:val="en-US"/>
        </w:rPr>
        <w:t xml:space="preserve"> academic background. In the case of candidates with significant professional experience, they can also submit letters from people in their professional field. </w:t>
      </w:r>
    </w:p>
    <w:p w14:paraId="787C3287" w14:textId="77777777" w:rsidR="0003037C" w:rsidRDefault="0003037C" w:rsidP="0003037C">
      <w:pPr>
        <w:pStyle w:val="Default"/>
        <w:numPr>
          <w:ilvl w:val="0"/>
          <w:numId w:val="3"/>
        </w:numPr>
        <w:spacing w:after="69"/>
        <w:jc w:val="both"/>
        <w:rPr>
          <w:sz w:val="22"/>
          <w:szCs w:val="22"/>
        </w:rPr>
      </w:pPr>
      <w:r>
        <w:rPr>
          <w:sz w:val="22"/>
          <w:szCs w:val="22"/>
        </w:rPr>
        <w:t xml:space="preserve">A </w:t>
      </w:r>
      <w:proofErr w:type="spellStart"/>
      <w:r>
        <w:rPr>
          <w:sz w:val="22"/>
          <w:szCs w:val="22"/>
        </w:rPr>
        <w:t>detailed</w:t>
      </w:r>
      <w:proofErr w:type="spellEnd"/>
      <w:r>
        <w:rPr>
          <w:sz w:val="22"/>
          <w:szCs w:val="22"/>
        </w:rPr>
        <w:t xml:space="preserve"> </w:t>
      </w:r>
      <w:proofErr w:type="spellStart"/>
      <w:r>
        <w:rPr>
          <w:sz w:val="22"/>
          <w:szCs w:val="22"/>
        </w:rPr>
        <w:t>curriculum</w:t>
      </w:r>
      <w:proofErr w:type="spellEnd"/>
      <w:r>
        <w:rPr>
          <w:sz w:val="22"/>
          <w:szCs w:val="22"/>
        </w:rPr>
        <w:t xml:space="preserve"> </w:t>
      </w:r>
      <w:proofErr w:type="spellStart"/>
      <w:r>
        <w:rPr>
          <w:sz w:val="22"/>
          <w:szCs w:val="22"/>
        </w:rPr>
        <w:t>vitae</w:t>
      </w:r>
      <w:proofErr w:type="spellEnd"/>
      <w:r>
        <w:rPr>
          <w:sz w:val="22"/>
          <w:szCs w:val="22"/>
        </w:rPr>
        <w:t xml:space="preserve">. </w:t>
      </w:r>
    </w:p>
    <w:p w14:paraId="4FAB52D0" w14:textId="77777777" w:rsidR="0003037C" w:rsidRPr="00F609B5" w:rsidRDefault="0003037C" w:rsidP="00393E94">
      <w:pPr>
        <w:pStyle w:val="Default"/>
        <w:numPr>
          <w:ilvl w:val="0"/>
          <w:numId w:val="3"/>
        </w:numPr>
        <w:ind w:left="709" w:hanging="709"/>
        <w:jc w:val="both"/>
        <w:rPr>
          <w:sz w:val="22"/>
          <w:szCs w:val="22"/>
          <w:lang w:val="en-US"/>
        </w:rPr>
      </w:pPr>
      <w:r w:rsidRPr="00AE63DF">
        <w:rPr>
          <w:sz w:val="22"/>
          <w:szCs w:val="22"/>
          <w:lang w:val="en-US"/>
        </w:rPr>
        <w:t xml:space="preserve">Any other information that, in the opinion of the candidates, would contribute to their more </w:t>
      </w:r>
      <w:r w:rsidRPr="00F609B5">
        <w:rPr>
          <w:sz w:val="22"/>
          <w:szCs w:val="22"/>
          <w:lang w:val="en-US"/>
        </w:rPr>
        <w:t xml:space="preserve">complete evaluation, such as certificates of participation in summer schools, conferences, student exchange programs, IKY scholarships. or other recognized institutions, prizes in competitions, presentations of papers in scientific conferences, proof of participation in research projects, scientific publications, certificates of professional experience, etc. </w:t>
      </w:r>
    </w:p>
    <w:p w14:paraId="7A94D372" w14:textId="77777777" w:rsidR="0003037C" w:rsidRPr="00AE63DF" w:rsidRDefault="0003037C" w:rsidP="0003037C">
      <w:pPr>
        <w:pStyle w:val="Default"/>
        <w:numPr>
          <w:ilvl w:val="0"/>
          <w:numId w:val="3"/>
        </w:numPr>
        <w:spacing w:after="69"/>
        <w:jc w:val="both"/>
        <w:rPr>
          <w:sz w:val="22"/>
          <w:szCs w:val="22"/>
          <w:lang w:val="en-US"/>
        </w:rPr>
      </w:pPr>
      <w:r w:rsidRPr="00AE63DF">
        <w:rPr>
          <w:sz w:val="22"/>
          <w:szCs w:val="22"/>
          <w:lang w:val="en-US"/>
        </w:rPr>
        <w:t xml:space="preserve">A copy of ID or passport. </w:t>
      </w:r>
    </w:p>
    <w:p w14:paraId="3A80AD1B" w14:textId="77777777" w:rsidR="0003037C" w:rsidRPr="008F4864" w:rsidRDefault="0003037C" w:rsidP="0003037C">
      <w:pPr>
        <w:pStyle w:val="Default"/>
        <w:numPr>
          <w:ilvl w:val="0"/>
          <w:numId w:val="3"/>
        </w:numPr>
        <w:jc w:val="both"/>
        <w:rPr>
          <w:sz w:val="22"/>
          <w:szCs w:val="22"/>
          <w:lang w:val="en-US"/>
        </w:rPr>
      </w:pPr>
      <w:r w:rsidRPr="008F4864">
        <w:rPr>
          <w:sz w:val="22"/>
          <w:szCs w:val="22"/>
          <w:lang w:val="en-US"/>
        </w:rPr>
        <w:t xml:space="preserve">A recent passport size photograph </w:t>
      </w:r>
    </w:p>
    <w:p w14:paraId="63C46E0E" w14:textId="77777777" w:rsidR="00677C66" w:rsidRDefault="00677C66" w:rsidP="00BE22A7">
      <w:pPr>
        <w:spacing w:line="276" w:lineRule="auto"/>
        <w:rPr>
          <w:rFonts w:asciiTheme="minorHAnsi" w:eastAsiaTheme="minorHAnsi" w:hAnsiTheme="minorHAnsi" w:cstheme="minorBidi"/>
          <w:sz w:val="22"/>
          <w:szCs w:val="22"/>
        </w:rPr>
      </w:pPr>
    </w:p>
    <w:p w14:paraId="39AE74DB" w14:textId="349436A3" w:rsidR="008D275A" w:rsidRPr="008D275A" w:rsidRDefault="00EE3C9B" w:rsidP="008D275A">
      <w:pPr>
        <w:spacing w:line="276" w:lineRule="auto"/>
        <w:rPr>
          <w:rFonts w:asciiTheme="minorHAnsi" w:eastAsiaTheme="minorHAnsi" w:hAnsiTheme="minorHAnsi" w:cstheme="minorBidi"/>
          <w:sz w:val="22"/>
          <w:szCs w:val="22"/>
          <w:lang w:val="en-US"/>
        </w:rPr>
      </w:pPr>
      <w:r w:rsidRPr="00EE3C9B">
        <w:rPr>
          <w:rFonts w:asciiTheme="minorHAnsi" w:eastAsiaTheme="minorHAnsi" w:hAnsiTheme="minorHAnsi" w:cstheme="minorBidi"/>
          <w:sz w:val="22"/>
          <w:szCs w:val="22"/>
          <w:lang w:val="en-US"/>
        </w:rPr>
        <w:t xml:space="preserve">The </w:t>
      </w:r>
      <w:proofErr w:type="spellStart"/>
      <w:r w:rsidRPr="00EE3C9B">
        <w:rPr>
          <w:rFonts w:asciiTheme="minorHAnsi" w:eastAsiaTheme="minorHAnsi" w:hAnsiTheme="minorHAnsi" w:cstheme="minorBidi"/>
          <w:sz w:val="22"/>
          <w:szCs w:val="22"/>
          <w:lang w:val="en-US"/>
        </w:rPr>
        <w:t>programme</w:t>
      </w:r>
      <w:proofErr w:type="spellEnd"/>
      <w:r w:rsidRPr="00EE3C9B">
        <w:rPr>
          <w:rFonts w:asciiTheme="minorHAnsi" w:eastAsiaTheme="minorHAnsi" w:hAnsiTheme="minorHAnsi" w:cstheme="minorBidi"/>
          <w:sz w:val="22"/>
          <w:szCs w:val="22"/>
          <w:lang w:val="en-US"/>
        </w:rPr>
        <w:t xml:space="preserve"> fees for the MSc in Energy and Finance for the </w:t>
      </w:r>
      <w:r w:rsidR="008D275A">
        <w:rPr>
          <w:rFonts w:asciiTheme="minorHAnsi" w:eastAsiaTheme="minorHAnsi" w:hAnsiTheme="minorHAnsi" w:cstheme="minorBidi"/>
          <w:sz w:val="22"/>
          <w:szCs w:val="22"/>
          <w:lang w:val="en-US"/>
        </w:rPr>
        <w:t>2025-26 academic year are 3000€*. The amount is payable in two instalments for the full-time mode or in four instalments for the part-time</w:t>
      </w:r>
      <w:r w:rsidR="008D275A" w:rsidRPr="008D275A">
        <w:rPr>
          <w:rFonts w:asciiTheme="minorHAnsi" w:eastAsiaTheme="minorHAnsi" w:hAnsiTheme="minorHAnsi" w:cstheme="minorBidi"/>
          <w:sz w:val="22"/>
          <w:szCs w:val="22"/>
          <w:lang w:val="en-US"/>
        </w:rPr>
        <w:t xml:space="preserve"> mode at the beginning of each semester. </w:t>
      </w:r>
    </w:p>
    <w:p w14:paraId="6B5659F0" w14:textId="7057C389" w:rsidR="00E553DB" w:rsidRDefault="008D275A" w:rsidP="008D275A">
      <w:pPr>
        <w:spacing w:line="276" w:lineRule="auto"/>
        <w:rPr>
          <w:rFonts w:asciiTheme="minorHAnsi" w:eastAsiaTheme="minorHAnsi" w:hAnsiTheme="minorHAnsi" w:cstheme="minorBidi"/>
          <w:sz w:val="22"/>
          <w:szCs w:val="22"/>
          <w:lang w:val="en-US"/>
        </w:rPr>
      </w:pPr>
      <w:r w:rsidRPr="008D275A">
        <w:rPr>
          <w:rFonts w:asciiTheme="minorHAnsi" w:eastAsiaTheme="minorHAnsi" w:hAnsiTheme="minorHAnsi" w:cstheme="minorBidi"/>
          <w:sz w:val="22"/>
          <w:szCs w:val="22"/>
          <w:lang w:val="en-US"/>
        </w:rPr>
        <w:t>*For the 2025-26 academic year a tuition fee reduction of 1000€ from the initial 4000€ will be provided to all accepted students.</w:t>
      </w:r>
    </w:p>
    <w:p w14:paraId="7BE0C482" w14:textId="77777777" w:rsidR="00EE3C9B" w:rsidRPr="00E553DB" w:rsidRDefault="00EE3C9B" w:rsidP="00EE3C9B">
      <w:pPr>
        <w:spacing w:line="276" w:lineRule="auto"/>
        <w:rPr>
          <w:rFonts w:asciiTheme="minorHAnsi" w:eastAsiaTheme="minorHAnsi" w:hAnsiTheme="minorHAnsi" w:cstheme="minorBidi"/>
          <w:sz w:val="22"/>
          <w:szCs w:val="22"/>
          <w:lang w:val="en-US"/>
        </w:rPr>
      </w:pPr>
    </w:p>
    <w:p w14:paraId="01BEF751" w14:textId="2DBCF8F0" w:rsidR="00A55B50" w:rsidRDefault="00BE22A7" w:rsidP="00BE22A7">
      <w:pPr>
        <w:spacing w:line="276" w:lineRule="auto"/>
        <w:rPr>
          <w:rFonts w:asciiTheme="minorHAnsi" w:eastAsiaTheme="minorHAnsi" w:hAnsiTheme="minorHAnsi" w:cstheme="minorBidi"/>
          <w:sz w:val="22"/>
          <w:szCs w:val="22"/>
        </w:rPr>
      </w:pPr>
      <w:r w:rsidRPr="00396B0A">
        <w:rPr>
          <w:rFonts w:asciiTheme="minorHAnsi" w:eastAsiaTheme="minorHAnsi" w:hAnsiTheme="minorHAnsi" w:cstheme="minorBidi"/>
          <w:sz w:val="22"/>
          <w:szCs w:val="22"/>
        </w:rPr>
        <w:t>Further information is available from the Secretariat and the Programme Manager of the School of Science &amp; Technology of the International Hellenic University (tel. 0030 2310 8075</w:t>
      </w:r>
      <w:r w:rsidR="004C6F5B">
        <w:rPr>
          <w:rFonts w:asciiTheme="minorHAnsi" w:eastAsiaTheme="minorHAnsi" w:hAnsiTheme="minorHAnsi" w:cstheme="minorBidi"/>
          <w:sz w:val="22"/>
          <w:szCs w:val="22"/>
        </w:rPr>
        <w:t>2</w:t>
      </w:r>
      <w:r w:rsidR="00421E7E">
        <w:rPr>
          <w:rFonts w:asciiTheme="minorHAnsi" w:eastAsiaTheme="minorHAnsi" w:hAnsiTheme="minorHAnsi" w:cstheme="minorBidi"/>
          <w:sz w:val="22"/>
          <w:szCs w:val="22"/>
        </w:rPr>
        <w:t>9</w:t>
      </w:r>
      <w:r w:rsidR="00344ADC">
        <w:rPr>
          <w:rFonts w:asciiTheme="minorHAnsi" w:eastAsiaTheme="minorHAnsi" w:hAnsiTheme="minorHAnsi" w:cstheme="minorBidi"/>
          <w:sz w:val="22"/>
          <w:szCs w:val="22"/>
        </w:rPr>
        <w:t>/5</w:t>
      </w:r>
      <w:r w:rsidR="00421E7E">
        <w:rPr>
          <w:rFonts w:asciiTheme="minorHAnsi" w:eastAsiaTheme="minorHAnsi" w:hAnsiTheme="minorHAnsi" w:cstheme="minorBidi"/>
          <w:sz w:val="22"/>
          <w:szCs w:val="22"/>
        </w:rPr>
        <w:t>31</w:t>
      </w:r>
      <w:r w:rsidR="00344ADC">
        <w:rPr>
          <w:rFonts w:asciiTheme="minorHAnsi" w:eastAsiaTheme="minorHAnsi" w:hAnsiTheme="minorHAnsi" w:cstheme="minorBidi"/>
          <w:sz w:val="22"/>
          <w:szCs w:val="22"/>
        </w:rPr>
        <w:t xml:space="preserve">, </w:t>
      </w:r>
      <w:r w:rsidR="00155320" w:rsidRPr="00AC414C">
        <w:rPr>
          <w:rFonts w:asciiTheme="minorHAnsi" w:eastAsiaTheme="minorHAnsi" w:hAnsiTheme="minorHAnsi" w:cstheme="minorBidi"/>
          <w:sz w:val="22"/>
          <w:szCs w:val="22"/>
        </w:rPr>
        <w:t>email</w:t>
      </w:r>
      <w:r w:rsidR="00155320" w:rsidRPr="00AC414C">
        <w:rPr>
          <w:rFonts w:asciiTheme="minorHAnsi" w:eastAsiaTheme="minorHAnsi" w:hAnsiTheme="minorHAnsi" w:cstheme="minorBidi"/>
          <w:sz w:val="22"/>
          <w:szCs w:val="22"/>
          <w:lang w:val="en-US"/>
        </w:rPr>
        <w:t>:</w:t>
      </w:r>
      <w:r w:rsidR="007F5D44">
        <w:rPr>
          <w:rFonts w:asciiTheme="minorHAnsi" w:eastAsiaTheme="minorHAnsi" w:hAnsiTheme="minorHAnsi" w:cstheme="minorBidi"/>
          <w:sz w:val="22"/>
          <w:szCs w:val="22"/>
          <w:lang w:val="en-US"/>
        </w:rPr>
        <w:t xml:space="preserve"> </w:t>
      </w:r>
      <w:hyperlink r:id="rId12" w:history="1">
        <w:r w:rsidR="004C6F5B" w:rsidRPr="00821689">
          <w:rPr>
            <w:rStyle w:val="Hyperlink"/>
            <w:rFonts w:asciiTheme="minorHAnsi" w:hAnsiTheme="minorHAnsi" w:cs="Arial"/>
            <w:sz w:val="22"/>
            <w:szCs w:val="22"/>
            <w:lang w:val="en-US"/>
          </w:rPr>
          <w:t>admissions@ihu.edu.gr</w:t>
        </w:r>
      </w:hyperlink>
      <w:r w:rsidR="00A5220C">
        <w:rPr>
          <w:rFonts w:asciiTheme="minorHAnsi" w:eastAsiaTheme="minorHAnsi" w:hAnsiTheme="minorHAnsi" w:cstheme="minorBidi"/>
          <w:sz w:val="22"/>
          <w:szCs w:val="22"/>
        </w:rPr>
        <w:t>)</w:t>
      </w:r>
      <w:r w:rsidRPr="00396B0A">
        <w:rPr>
          <w:rFonts w:asciiTheme="minorHAnsi" w:eastAsiaTheme="minorHAnsi" w:hAnsiTheme="minorHAnsi" w:cstheme="minorBidi"/>
          <w:sz w:val="22"/>
          <w:szCs w:val="22"/>
        </w:rPr>
        <w:t>.</w:t>
      </w:r>
    </w:p>
    <w:p w14:paraId="162284F1" w14:textId="77777777" w:rsidR="00165A00" w:rsidRDefault="00165A00" w:rsidP="00165A00">
      <w:pPr>
        <w:spacing w:after="200" w:line="276" w:lineRule="auto"/>
        <w:rPr>
          <w:rFonts w:ascii="Calibri" w:hAnsi="Calibri" w:cs="Arial"/>
          <w:b/>
          <w:i/>
          <w:sz w:val="22"/>
          <w:szCs w:val="22"/>
          <w:lang w:bidi="en-US"/>
        </w:rPr>
      </w:pPr>
    </w:p>
    <w:p w14:paraId="38B01CD4" w14:textId="77777777" w:rsidR="00EE3C9B" w:rsidRPr="00E553DB" w:rsidRDefault="00EE3C9B" w:rsidP="00165A00">
      <w:pPr>
        <w:spacing w:after="200" w:line="276" w:lineRule="auto"/>
        <w:rPr>
          <w:rFonts w:ascii="Calibri" w:hAnsi="Calibri" w:cs="Arial"/>
          <w:b/>
          <w:i/>
          <w:sz w:val="22"/>
          <w:szCs w:val="22"/>
          <w:lang w:bidi="en-US"/>
        </w:rPr>
      </w:pPr>
    </w:p>
    <w:p w14:paraId="4552D2F7" w14:textId="77777777" w:rsidR="00165A00" w:rsidRPr="00385651" w:rsidRDefault="00165A00" w:rsidP="00E553DB">
      <w:pPr>
        <w:spacing w:after="200"/>
        <w:rPr>
          <w:rFonts w:asciiTheme="minorHAnsi" w:hAnsiTheme="minorHAnsi" w:cstheme="minorHAnsi"/>
          <w:b/>
          <w:i/>
          <w:sz w:val="22"/>
          <w:szCs w:val="22"/>
          <w:lang w:val="en-US" w:bidi="en-US"/>
        </w:rPr>
      </w:pPr>
      <w:r w:rsidRPr="00385651">
        <w:rPr>
          <w:rFonts w:asciiTheme="minorHAnsi" w:hAnsiTheme="minorHAnsi" w:cstheme="minorHAnsi"/>
          <w:b/>
          <w:i/>
          <w:sz w:val="22"/>
          <w:szCs w:val="22"/>
          <w:lang w:val="en-US" w:bidi="en-US"/>
        </w:rPr>
        <w:t>Compliance with the General Data Protection Regulation (GDPR) (EE 2016/679)</w:t>
      </w:r>
    </w:p>
    <w:p w14:paraId="15742E2B" w14:textId="77777777" w:rsidR="00165A00" w:rsidRPr="00385651" w:rsidRDefault="00165A00" w:rsidP="00E553DB">
      <w:pPr>
        <w:spacing w:after="200"/>
        <w:rPr>
          <w:rFonts w:asciiTheme="minorHAnsi" w:hAnsiTheme="minorHAnsi" w:cstheme="minorHAnsi"/>
          <w:i/>
          <w:iCs/>
          <w:sz w:val="22"/>
          <w:szCs w:val="22"/>
        </w:rPr>
      </w:pPr>
      <w:r w:rsidRPr="00385651">
        <w:rPr>
          <w:rFonts w:asciiTheme="minorHAnsi" w:hAnsiTheme="minorHAnsi" w:cstheme="minorHAnsi"/>
          <w:i/>
          <w:iCs/>
          <w:sz w:val="22"/>
          <w:szCs w:val="22"/>
        </w:rPr>
        <w:t xml:space="preserve">Prospective students who submit an application and the supporting documents, give their consent to the processing of their personal data for the purpose of assessment of their candidacy in order to become accepted to a postgraduate programme of the International Hellenic University. </w:t>
      </w:r>
    </w:p>
    <w:p w14:paraId="1D35E780" w14:textId="6D7DE247" w:rsidR="004374EF" w:rsidRPr="00E553DB" w:rsidRDefault="00165A00" w:rsidP="00E553DB">
      <w:pPr>
        <w:spacing w:after="200"/>
        <w:rPr>
          <w:rFonts w:asciiTheme="minorHAnsi" w:hAnsiTheme="minorHAnsi" w:cstheme="minorHAnsi"/>
          <w:i/>
          <w:iCs/>
          <w:sz w:val="22"/>
          <w:szCs w:val="22"/>
        </w:rPr>
      </w:pPr>
      <w:r w:rsidRPr="00385651">
        <w:rPr>
          <w:rFonts w:asciiTheme="minorHAnsi" w:hAnsiTheme="minorHAnsi" w:cstheme="minorHAnsi"/>
          <w:i/>
          <w:iCs/>
          <w:sz w:val="22"/>
          <w:szCs w:val="22"/>
        </w:rPr>
        <w:t xml:space="preserve">If a candidate is not selected, his/her details are deleted from the School’s archives within a period of 30 days. A candidate whose application is not successful is entitled to receive the documents submitted, otherwise the documents are destroyed within 30 days. </w:t>
      </w:r>
    </w:p>
    <w:tbl>
      <w:tblPr>
        <w:tblpPr w:leftFromText="180" w:rightFromText="180" w:vertAnchor="text" w:horzAnchor="margin" w:tblpXSpec="right" w:tblpY="43"/>
        <w:tblW w:w="0" w:type="auto"/>
        <w:tblLook w:val="00A0" w:firstRow="1" w:lastRow="0" w:firstColumn="1" w:lastColumn="0" w:noHBand="0" w:noVBand="0"/>
      </w:tblPr>
      <w:tblGrid>
        <w:gridCol w:w="5079"/>
      </w:tblGrid>
      <w:tr w:rsidR="004374EF" w:rsidRPr="00396B0A" w14:paraId="5E446DCD" w14:textId="77777777" w:rsidTr="002D40D9">
        <w:tc>
          <w:tcPr>
            <w:tcW w:w="5079" w:type="dxa"/>
          </w:tcPr>
          <w:p w14:paraId="475D69B9" w14:textId="60857EA3" w:rsidR="004374EF" w:rsidRPr="00344ADC" w:rsidRDefault="004374EF" w:rsidP="00E553DB">
            <w:pPr>
              <w:pStyle w:val="NoSpacing"/>
              <w:jc w:val="center"/>
              <w:rPr>
                <w:rFonts w:cs="Arial"/>
                <w:lang w:val="en-US"/>
              </w:rPr>
            </w:pPr>
            <w:r w:rsidRPr="00344ADC">
              <w:rPr>
                <w:rFonts w:cs="Arial"/>
                <w:lang w:val="en-US"/>
              </w:rPr>
              <w:t xml:space="preserve">    Thessaloniki</w:t>
            </w:r>
            <w:r w:rsidR="00F925BF">
              <w:rPr>
                <w:rFonts w:cs="Arial"/>
              </w:rPr>
              <w:t>,</w:t>
            </w:r>
            <w:r w:rsidR="00624735">
              <w:rPr>
                <w:rFonts w:cs="Arial"/>
                <w:lang w:val="en-US"/>
              </w:rPr>
              <w:t>1</w:t>
            </w:r>
            <w:r w:rsidR="005F2506">
              <w:rPr>
                <w:rFonts w:cs="Arial"/>
              </w:rPr>
              <w:t>5</w:t>
            </w:r>
            <w:r w:rsidR="00421E7E">
              <w:rPr>
                <w:rFonts w:cs="Arial"/>
                <w:lang w:val="en-US"/>
              </w:rPr>
              <w:t>/</w:t>
            </w:r>
            <w:r w:rsidR="005F2506">
              <w:rPr>
                <w:rFonts w:cs="Arial"/>
              </w:rPr>
              <w:t>9</w:t>
            </w:r>
            <w:r w:rsidR="00421E7E">
              <w:rPr>
                <w:rFonts w:cs="Arial"/>
                <w:lang w:val="en-US"/>
              </w:rPr>
              <w:t>/202</w:t>
            </w:r>
            <w:r w:rsidR="00F53AD3">
              <w:rPr>
                <w:rFonts w:cs="Arial"/>
                <w:lang w:val="en-US"/>
              </w:rPr>
              <w:t>5</w:t>
            </w:r>
          </w:p>
          <w:tbl>
            <w:tblPr>
              <w:tblpPr w:leftFromText="180" w:rightFromText="180" w:vertAnchor="text" w:horzAnchor="margin" w:tblpXSpec="right" w:tblpY="43"/>
              <w:tblW w:w="4802" w:type="dxa"/>
              <w:tblLook w:val="00A0" w:firstRow="1" w:lastRow="0" w:firstColumn="1" w:lastColumn="0" w:noHBand="0" w:noVBand="0"/>
            </w:tblPr>
            <w:tblGrid>
              <w:gridCol w:w="4802"/>
            </w:tblGrid>
            <w:tr w:rsidR="004374EF" w:rsidRPr="00344ADC" w14:paraId="530D6674" w14:textId="77777777" w:rsidTr="00E553DB">
              <w:trPr>
                <w:trHeight w:val="851"/>
              </w:trPr>
              <w:tc>
                <w:tcPr>
                  <w:tcW w:w="4802" w:type="dxa"/>
                </w:tcPr>
                <w:p w14:paraId="7883460F" w14:textId="5F23B1C5" w:rsidR="004374EF" w:rsidRPr="00393E94" w:rsidRDefault="004374EF" w:rsidP="00393E94">
                  <w:pPr>
                    <w:pStyle w:val="NoSpacing"/>
                    <w:jc w:val="center"/>
                    <w:rPr>
                      <w:rFonts w:cs="Arial"/>
                      <w:lang w:val="en-US"/>
                    </w:rPr>
                  </w:pPr>
                  <w:r w:rsidRPr="00344ADC">
                    <w:rPr>
                      <w:rFonts w:cs="Arial"/>
                      <w:lang w:val="en-US"/>
                    </w:rPr>
                    <w:t xml:space="preserve">     The Dean of the School</w:t>
                  </w:r>
                </w:p>
              </w:tc>
            </w:tr>
            <w:tr w:rsidR="004374EF" w:rsidRPr="00344ADC" w14:paraId="65E98CA1" w14:textId="77777777" w:rsidTr="00E553DB">
              <w:trPr>
                <w:trHeight w:val="905"/>
              </w:trPr>
              <w:tc>
                <w:tcPr>
                  <w:tcW w:w="4802" w:type="dxa"/>
                </w:tcPr>
                <w:p w14:paraId="29636A16" w14:textId="3DA384D1" w:rsidR="004374EF" w:rsidRPr="00344ADC" w:rsidRDefault="00343E5E" w:rsidP="00E553DB">
                  <w:pPr>
                    <w:pStyle w:val="NoSpacing"/>
                    <w:tabs>
                      <w:tab w:val="left" w:pos="3075"/>
                    </w:tabs>
                    <w:rPr>
                      <w:rFonts w:cs="Arial"/>
                      <w:lang w:val="en-US"/>
                    </w:rPr>
                  </w:pPr>
                  <w:r>
                    <w:rPr>
                      <w:rFonts w:cs="Arial"/>
                      <w:lang w:val="en-US"/>
                    </w:rPr>
                    <w:t xml:space="preserve"> </w:t>
                  </w:r>
                  <w:r w:rsidR="00E553DB">
                    <w:rPr>
                      <w:rFonts w:cs="Arial"/>
                      <w:lang w:val="en-US"/>
                    </w:rPr>
                    <w:t xml:space="preserve">                </w:t>
                  </w:r>
                  <w:r w:rsidR="00F56B49">
                    <w:rPr>
                      <w:rFonts w:cs="Arial"/>
                      <w:lang w:val="en-US"/>
                    </w:rPr>
                    <w:t xml:space="preserve">         </w:t>
                  </w:r>
                  <w:r w:rsidR="00E553DB">
                    <w:rPr>
                      <w:rFonts w:cs="Arial"/>
                      <w:lang w:val="en-US"/>
                    </w:rPr>
                    <w:t xml:space="preserve"> </w:t>
                  </w:r>
                  <w:r w:rsidR="00751602">
                    <w:rPr>
                      <w:rFonts w:cs="Arial"/>
                      <w:lang w:val="en-US"/>
                    </w:rPr>
                    <w:t xml:space="preserve">Professor </w:t>
                  </w:r>
                  <w:r w:rsidR="00F56B49">
                    <w:rPr>
                      <w:rFonts w:cs="Arial"/>
                      <w:lang w:val="en-US"/>
                    </w:rPr>
                    <w:t>Maria Drakaki</w:t>
                  </w:r>
                </w:p>
              </w:tc>
            </w:tr>
            <w:tr w:rsidR="00343E5E" w:rsidRPr="00344ADC" w14:paraId="02F32833" w14:textId="77777777" w:rsidTr="00E553DB">
              <w:trPr>
                <w:trHeight w:val="905"/>
              </w:trPr>
              <w:tc>
                <w:tcPr>
                  <w:tcW w:w="4802" w:type="dxa"/>
                </w:tcPr>
                <w:p w14:paraId="104D5CF0" w14:textId="79BB715E" w:rsidR="00343E5E" w:rsidRPr="00344ADC" w:rsidRDefault="00E553DB" w:rsidP="002D40D9">
                  <w:pPr>
                    <w:pStyle w:val="NoSpacing"/>
                    <w:jc w:val="center"/>
                    <w:rPr>
                      <w:rFonts w:cs="Arial"/>
                      <w:lang w:val="en-US"/>
                    </w:rPr>
                  </w:pPr>
                  <w:r>
                    <w:rPr>
                      <w:rFonts w:cs="Arial"/>
                      <w:lang w:val="en-US"/>
                    </w:rPr>
                    <w:t xml:space="preserve"> </w:t>
                  </w:r>
                </w:p>
              </w:tc>
            </w:tr>
          </w:tbl>
          <w:p w14:paraId="4BC4F6FF" w14:textId="77777777" w:rsidR="004374EF" w:rsidRPr="00344ADC" w:rsidRDefault="004374EF" w:rsidP="002D40D9">
            <w:pPr>
              <w:pStyle w:val="NoSpacing"/>
              <w:jc w:val="center"/>
              <w:rPr>
                <w:rFonts w:cs="Arial"/>
              </w:rPr>
            </w:pPr>
          </w:p>
        </w:tc>
      </w:tr>
    </w:tbl>
    <w:p w14:paraId="467A7258" w14:textId="77777777" w:rsidR="004374EF" w:rsidRDefault="004374EF" w:rsidP="00393E94">
      <w:pPr>
        <w:spacing w:after="200" w:line="276" w:lineRule="auto"/>
        <w:rPr>
          <w:rFonts w:asciiTheme="minorHAnsi" w:hAnsiTheme="minorHAnsi" w:cstheme="minorHAnsi"/>
          <w:i/>
          <w:iCs/>
          <w:sz w:val="22"/>
          <w:szCs w:val="22"/>
        </w:rPr>
      </w:pPr>
    </w:p>
    <w:sectPr w:rsidR="004374EF" w:rsidSect="00393E94">
      <w:pgSz w:w="11906" w:h="16838"/>
      <w:pgMar w:top="851"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ECC0" w14:textId="77777777" w:rsidR="00861D78" w:rsidRDefault="00861D78" w:rsidP="00E553DB">
      <w:r>
        <w:separator/>
      </w:r>
    </w:p>
  </w:endnote>
  <w:endnote w:type="continuationSeparator" w:id="0">
    <w:p w14:paraId="60474011" w14:textId="77777777" w:rsidR="00861D78" w:rsidRDefault="00861D78" w:rsidP="00E5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1D3E8" w14:textId="77777777" w:rsidR="00861D78" w:rsidRDefault="00861D78" w:rsidP="00E553DB">
      <w:r>
        <w:separator/>
      </w:r>
    </w:p>
  </w:footnote>
  <w:footnote w:type="continuationSeparator" w:id="0">
    <w:p w14:paraId="2DD886D8" w14:textId="77777777" w:rsidR="00861D78" w:rsidRDefault="00861D78" w:rsidP="00E553DB">
      <w:r>
        <w:continuationSeparator/>
      </w:r>
    </w:p>
  </w:footnote>
  <w:footnote w:id="1">
    <w:p w14:paraId="45E0F5C1" w14:textId="77777777" w:rsidR="00F26EEC" w:rsidRPr="00B70E77" w:rsidRDefault="00F26EEC" w:rsidP="00F26EEC">
      <w:pPr>
        <w:pStyle w:val="FootnoteText"/>
        <w:rPr>
          <w:rFonts w:asciiTheme="minorHAnsi" w:hAnsiTheme="minorHAnsi" w:cstheme="minorHAnsi"/>
          <w:sz w:val="18"/>
          <w:szCs w:val="18"/>
          <w:lang w:val="en-US"/>
        </w:rPr>
      </w:pPr>
      <w:r>
        <w:rPr>
          <w:rStyle w:val="FootnoteReference"/>
        </w:rPr>
        <w:footnoteRef/>
      </w:r>
      <w:r>
        <w:t xml:space="preserve"> </w:t>
      </w:r>
      <w:r w:rsidRPr="00B70E77">
        <w:rPr>
          <w:rFonts w:asciiTheme="minorHAnsi" w:hAnsiTheme="minorHAnsi" w:cstheme="minorHAnsi"/>
          <w:sz w:val="18"/>
          <w:szCs w:val="18"/>
          <w:lang w:val="en-US"/>
        </w:rPr>
        <w:t>According to par. 4 and 5 of art. 304 of Law 4957/2022 as amended by Law 5029/2023:</w:t>
      </w:r>
    </w:p>
    <w:p w14:paraId="6240BB90" w14:textId="77777777" w:rsidR="00F26EEC" w:rsidRPr="00B70E77" w:rsidRDefault="00F26EEC" w:rsidP="00F26EEC">
      <w:pPr>
        <w:pStyle w:val="FootnoteText"/>
        <w:rPr>
          <w:rFonts w:asciiTheme="minorHAnsi" w:hAnsiTheme="minorHAnsi" w:cstheme="minorHAnsi"/>
          <w:sz w:val="18"/>
          <w:szCs w:val="18"/>
          <w:lang w:val="en-US"/>
        </w:rPr>
      </w:pPr>
    </w:p>
    <w:p w14:paraId="686863F8" w14:textId="77777777" w:rsidR="00F26EEC" w:rsidRPr="00F17BBD" w:rsidRDefault="00F26EEC" w:rsidP="00F26EEC">
      <w:pPr>
        <w:pStyle w:val="FootnoteText"/>
        <w:rPr>
          <w:rFonts w:asciiTheme="minorHAnsi" w:hAnsiTheme="minorHAnsi" w:cstheme="minorHAnsi"/>
          <w:i/>
          <w:iCs/>
          <w:sz w:val="18"/>
          <w:szCs w:val="18"/>
          <w:lang w:val="en-US"/>
        </w:rPr>
      </w:pPr>
      <w:r w:rsidRPr="00F17BBD">
        <w:rPr>
          <w:rFonts w:asciiTheme="minorHAnsi" w:hAnsiTheme="minorHAnsi" w:cstheme="minorHAnsi"/>
          <w:i/>
          <w:iCs/>
          <w:sz w:val="18"/>
          <w:szCs w:val="18"/>
          <w:lang w:val="en-US"/>
        </w:rPr>
        <w:t>"4. The Higher Educational Institutions (HEIs) of the country and the public research centers supervised by the General Secretariat of Research and Innovation are bound by the Registers herein, in order for the relevant bodies to determine whether a foreign institution or a type of title from a foreign institution are recognized for: a) the acceptance of an application and registration for admission to a postgraduate study program or the preparation of a doctoral thesis,…..</w:t>
      </w:r>
    </w:p>
    <w:p w14:paraId="07D00713" w14:textId="77777777" w:rsidR="00F26EEC" w:rsidRPr="00F17BBD" w:rsidRDefault="00F26EEC" w:rsidP="00F26EEC">
      <w:pPr>
        <w:pStyle w:val="FootnoteText"/>
        <w:rPr>
          <w:rFonts w:asciiTheme="minorHAnsi" w:hAnsiTheme="minorHAnsi" w:cstheme="minorHAnsi"/>
          <w:i/>
          <w:iCs/>
          <w:sz w:val="18"/>
          <w:szCs w:val="18"/>
          <w:lang w:val="en-US"/>
        </w:rPr>
      </w:pPr>
    </w:p>
    <w:p w14:paraId="52AC1F8B" w14:textId="77777777" w:rsidR="00F26EEC" w:rsidRPr="00F17BBD" w:rsidRDefault="00F26EEC" w:rsidP="00F26EEC">
      <w:pPr>
        <w:pStyle w:val="FootnoteText"/>
        <w:rPr>
          <w:rFonts w:asciiTheme="minorHAnsi" w:hAnsiTheme="minorHAnsi" w:cstheme="minorHAnsi"/>
          <w:i/>
          <w:iCs/>
          <w:sz w:val="18"/>
          <w:szCs w:val="18"/>
          <w:lang w:val="en-US"/>
        </w:rPr>
      </w:pPr>
      <w:r w:rsidRPr="00F17BBD">
        <w:rPr>
          <w:rFonts w:asciiTheme="minorHAnsi" w:hAnsiTheme="minorHAnsi" w:cstheme="minorHAnsi"/>
          <w:i/>
          <w:iCs/>
          <w:sz w:val="18"/>
          <w:szCs w:val="18"/>
          <w:lang w:val="en-US"/>
        </w:rPr>
        <w:t>If the degree is included in the list of article 307, the competent body of the university or research center in addition to the other supporting documents required, must request a Certificate of Place of Study, which is issued and sent by the institution where the studies were carried out or by the institution where the research project is carried out. If Greece is confirmed as the place of studies or a part of them, the degree is not recognized, unless the part of the studies that took place in the Greece is in a public HEI"</w:t>
      </w:r>
    </w:p>
    <w:p w14:paraId="304307D1" w14:textId="77777777" w:rsidR="00F26EEC" w:rsidRPr="00F17BBD" w:rsidRDefault="00F26EEC" w:rsidP="00F26EEC">
      <w:pPr>
        <w:pStyle w:val="FootnoteText"/>
        <w:rPr>
          <w:rFonts w:asciiTheme="minorHAnsi" w:hAnsiTheme="minorHAnsi" w:cstheme="minorHAnsi"/>
          <w:i/>
          <w:iCs/>
          <w:sz w:val="18"/>
          <w:szCs w:val="18"/>
          <w:lang w:val="en-US"/>
        </w:rPr>
      </w:pPr>
    </w:p>
    <w:p w14:paraId="168F9B1E" w14:textId="77777777" w:rsidR="00F26EEC" w:rsidRPr="00F17BBD" w:rsidRDefault="00F26EEC" w:rsidP="00F26EEC">
      <w:pPr>
        <w:pStyle w:val="FootnoteText"/>
        <w:rPr>
          <w:i/>
          <w:iCs/>
          <w:lang w:val="en-US"/>
        </w:rPr>
      </w:pPr>
      <w:r w:rsidRPr="00F17BBD">
        <w:rPr>
          <w:rFonts w:asciiTheme="minorHAnsi" w:hAnsiTheme="minorHAnsi" w:cstheme="minorHAnsi"/>
          <w:i/>
          <w:iCs/>
          <w:sz w:val="18"/>
          <w:szCs w:val="18"/>
          <w:lang w:val="en-US"/>
        </w:rPr>
        <w:t>"5. If an institution or degree has not been registered by the Hellenic NARIC in the registers of par. 1, the Board of Directors of the Hellenic NARIC examines, ex officio or following a request of the bodies of par. 4, whether the conditions of this Chapter are met and with its decision includes them in the registers."</w:t>
      </w:r>
    </w:p>
    <w:p w14:paraId="1E3E9E99" w14:textId="77777777" w:rsidR="00F26EEC" w:rsidRPr="00B70E77" w:rsidRDefault="00F26EEC" w:rsidP="00F26EE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9B3A"/>
    <w:multiLevelType w:val="hybridMultilevel"/>
    <w:tmpl w:val="2320E5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4463C5"/>
    <w:multiLevelType w:val="hybridMultilevel"/>
    <w:tmpl w:val="8402D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8054FD"/>
    <w:multiLevelType w:val="hybridMultilevel"/>
    <w:tmpl w:val="4EE4DBF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2941AF3"/>
    <w:multiLevelType w:val="hybridMultilevel"/>
    <w:tmpl w:val="3266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733CB"/>
    <w:multiLevelType w:val="hybridMultilevel"/>
    <w:tmpl w:val="7C6CD896"/>
    <w:lvl w:ilvl="0" w:tplc="6AC8E444">
      <w:start w:val="1"/>
      <w:numFmt w:val="decimal"/>
      <w:lvlText w:val="%1."/>
      <w:lvlJc w:val="left"/>
      <w:pPr>
        <w:ind w:left="218" w:hanging="360"/>
      </w:pPr>
      <w:rPr>
        <w:rFonts w:cs="Times New Roman" w:hint="default"/>
      </w:rPr>
    </w:lvl>
    <w:lvl w:ilvl="1" w:tplc="04080019" w:tentative="1">
      <w:start w:val="1"/>
      <w:numFmt w:val="lowerLetter"/>
      <w:lvlText w:val="%2."/>
      <w:lvlJc w:val="left"/>
      <w:pPr>
        <w:ind w:left="938" w:hanging="360"/>
      </w:pPr>
      <w:rPr>
        <w:rFonts w:cs="Times New Roman"/>
      </w:rPr>
    </w:lvl>
    <w:lvl w:ilvl="2" w:tplc="0408001B" w:tentative="1">
      <w:start w:val="1"/>
      <w:numFmt w:val="lowerRoman"/>
      <w:lvlText w:val="%3."/>
      <w:lvlJc w:val="right"/>
      <w:pPr>
        <w:ind w:left="1658" w:hanging="180"/>
      </w:pPr>
      <w:rPr>
        <w:rFonts w:cs="Times New Roman"/>
      </w:rPr>
    </w:lvl>
    <w:lvl w:ilvl="3" w:tplc="0408000F" w:tentative="1">
      <w:start w:val="1"/>
      <w:numFmt w:val="decimal"/>
      <w:lvlText w:val="%4."/>
      <w:lvlJc w:val="left"/>
      <w:pPr>
        <w:ind w:left="2378" w:hanging="360"/>
      </w:pPr>
      <w:rPr>
        <w:rFonts w:cs="Times New Roman"/>
      </w:rPr>
    </w:lvl>
    <w:lvl w:ilvl="4" w:tplc="04080019" w:tentative="1">
      <w:start w:val="1"/>
      <w:numFmt w:val="lowerLetter"/>
      <w:lvlText w:val="%5."/>
      <w:lvlJc w:val="left"/>
      <w:pPr>
        <w:ind w:left="3098" w:hanging="360"/>
      </w:pPr>
      <w:rPr>
        <w:rFonts w:cs="Times New Roman"/>
      </w:rPr>
    </w:lvl>
    <w:lvl w:ilvl="5" w:tplc="0408001B" w:tentative="1">
      <w:start w:val="1"/>
      <w:numFmt w:val="lowerRoman"/>
      <w:lvlText w:val="%6."/>
      <w:lvlJc w:val="right"/>
      <w:pPr>
        <w:ind w:left="3818" w:hanging="180"/>
      </w:pPr>
      <w:rPr>
        <w:rFonts w:cs="Times New Roman"/>
      </w:rPr>
    </w:lvl>
    <w:lvl w:ilvl="6" w:tplc="0408000F" w:tentative="1">
      <w:start w:val="1"/>
      <w:numFmt w:val="decimal"/>
      <w:lvlText w:val="%7."/>
      <w:lvlJc w:val="left"/>
      <w:pPr>
        <w:ind w:left="4538" w:hanging="360"/>
      </w:pPr>
      <w:rPr>
        <w:rFonts w:cs="Times New Roman"/>
      </w:rPr>
    </w:lvl>
    <w:lvl w:ilvl="7" w:tplc="04080019" w:tentative="1">
      <w:start w:val="1"/>
      <w:numFmt w:val="lowerLetter"/>
      <w:lvlText w:val="%8."/>
      <w:lvlJc w:val="left"/>
      <w:pPr>
        <w:ind w:left="5258" w:hanging="360"/>
      </w:pPr>
      <w:rPr>
        <w:rFonts w:cs="Times New Roman"/>
      </w:rPr>
    </w:lvl>
    <w:lvl w:ilvl="8" w:tplc="0408001B" w:tentative="1">
      <w:start w:val="1"/>
      <w:numFmt w:val="lowerRoman"/>
      <w:lvlText w:val="%9."/>
      <w:lvlJc w:val="right"/>
      <w:pPr>
        <w:ind w:left="5978" w:hanging="180"/>
      </w:pPr>
      <w:rPr>
        <w:rFonts w:cs="Times New Roman"/>
      </w:rPr>
    </w:lvl>
  </w:abstractNum>
  <w:abstractNum w:abstractNumId="5" w15:restartNumberingAfterBreak="0">
    <w:nsid w:val="74CD3706"/>
    <w:multiLevelType w:val="hybridMultilevel"/>
    <w:tmpl w:val="50122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85526554">
    <w:abstractNumId w:val="1"/>
  </w:num>
  <w:num w:numId="2" w16cid:durableId="247932563">
    <w:abstractNumId w:val="4"/>
  </w:num>
  <w:num w:numId="3" w16cid:durableId="445201166">
    <w:abstractNumId w:val="0"/>
  </w:num>
  <w:num w:numId="4" w16cid:durableId="1186553954">
    <w:abstractNumId w:val="5"/>
  </w:num>
  <w:num w:numId="5" w16cid:durableId="304815898">
    <w:abstractNumId w:val="3"/>
  </w:num>
  <w:num w:numId="6" w16cid:durableId="612054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50"/>
    <w:rsid w:val="0001733A"/>
    <w:rsid w:val="00022DD2"/>
    <w:rsid w:val="0003037C"/>
    <w:rsid w:val="000464C4"/>
    <w:rsid w:val="0005751F"/>
    <w:rsid w:val="00064ED1"/>
    <w:rsid w:val="000B569B"/>
    <w:rsid w:val="000E6E71"/>
    <w:rsid w:val="000F524E"/>
    <w:rsid w:val="000F5AF4"/>
    <w:rsid w:val="00106C23"/>
    <w:rsid w:val="00155320"/>
    <w:rsid w:val="00155687"/>
    <w:rsid w:val="00165A00"/>
    <w:rsid w:val="00184466"/>
    <w:rsid w:val="00191C4D"/>
    <w:rsid w:val="001A7D8F"/>
    <w:rsid w:val="001B1612"/>
    <w:rsid w:val="001D094D"/>
    <w:rsid w:val="001E1901"/>
    <w:rsid w:val="00227AED"/>
    <w:rsid w:val="00235D86"/>
    <w:rsid w:val="00264CE6"/>
    <w:rsid w:val="0027237E"/>
    <w:rsid w:val="00287F62"/>
    <w:rsid w:val="002A2C72"/>
    <w:rsid w:val="002C1B20"/>
    <w:rsid w:val="002C5AF6"/>
    <w:rsid w:val="002F4279"/>
    <w:rsid w:val="003018E9"/>
    <w:rsid w:val="003310C9"/>
    <w:rsid w:val="00343E5E"/>
    <w:rsid w:val="00344ADC"/>
    <w:rsid w:val="003762CB"/>
    <w:rsid w:val="00385651"/>
    <w:rsid w:val="00393E94"/>
    <w:rsid w:val="00396B0A"/>
    <w:rsid w:val="00421E7E"/>
    <w:rsid w:val="004374EF"/>
    <w:rsid w:val="00484A2D"/>
    <w:rsid w:val="004B4F7F"/>
    <w:rsid w:val="004C3A16"/>
    <w:rsid w:val="004C6F5B"/>
    <w:rsid w:val="00533B79"/>
    <w:rsid w:val="005825B4"/>
    <w:rsid w:val="005F2506"/>
    <w:rsid w:val="00602F7B"/>
    <w:rsid w:val="006133A2"/>
    <w:rsid w:val="0062199A"/>
    <w:rsid w:val="00624735"/>
    <w:rsid w:val="006550A4"/>
    <w:rsid w:val="00677C66"/>
    <w:rsid w:val="006A267C"/>
    <w:rsid w:val="006A5367"/>
    <w:rsid w:val="006A75C8"/>
    <w:rsid w:val="006C4F3D"/>
    <w:rsid w:val="006D0B3E"/>
    <w:rsid w:val="006D3B05"/>
    <w:rsid w:val="006D47D3"/>
    <w:rsid w:val="006D6D63"/>
    <w:rsid w:val="0072439E"/>
    <w:rsid w:val="00751602"/>
    <w:rsid w:val="007C0E4B"/>
    <w:rsid w:val="007E542A"/>
    <w:rsid w:val="007F5D44"/>
    <w:rsid w:val="008128C2"/>
    <w:rsid w:val="008273CE"/>
    <w:rsid w:val="00861D78"/>
    <w:rsid w:val="00862F14"/>
    <w:rsid w:val="008743FE"/>
    <w:rsid w:val="008D275A"/>
    <w:rsid w:val="008E36ED"/>
    <w:rsid w:val="008F0814"/>
    <w:rsid w:val="00901E1F"/>
    <w:rsid w:val="00903EAF"/>
    <w:rsid w:val="0091395C"/>
    <w:rsid w:val="00922527"/>
    <w:rsid w:val="00940AC4"/>
    <w:rsid w:val="009567CD"/>
    <w:rsid w:val="00974C80"/>
    <w:rsid w:val="009E2ECC"/>
    <w:rsid w:val="00A1696C"/>
    <w:rsid w:val="00A46211"/>
    <w:rsid w:val="00A46977"/>
    <w:rsid w:val="00A46F0F"/>
    <w:rsid w:val="00A5220C"/>
    <w:rsid w:val="00A52748"/>
    <w:rsid w:val="00A55B50"/>
    <w:rsid w:val="00A61ECF"/>
    <w:rsid w:val="00AC414C"/>
    <w:rsid w:val="00B1638B"/>
    <w:rsid w:val="00BE22A7"/>
    <w:rsid w:val="00BE5DD9"/>
    <w:rsid w:val="00BF56BF"/>
    <w:rsid w:val="00C1309A"/>
    <w:rsid w:val="00C25627"/>
    <w:rsid w:val="00C46B29"/>
    <w:rsid w:val="00CF0E6F"/>
    <w:rsid w:val="00CF25E2"/>
    <w:rsid w:val="00D104B8"/>
    <w:rsid w:val="00D13FE5"/>
    <w:rsid w:val="00D36378"/>
    <w:rsid w:val="00DD24EE"/>
    <w:rsid w:val="00E454DC"/>
    <w:rsid w:val="00E553DB"/>
    <w:rsid w:val="00E914DA"/>
    <w:rsid w:val="00E92C10"/>
    <w:rsid w:val="00ED519F"/>
    <w:rsid w:val="00EE3C9B"/>
    <w:rsid w:val="00F2632D"/>
    <w:rsid w:val="00F26EEC"/>
    <w:rsid w:val="00F4649F"/>
    <w:rsid w:val="00F53AD3"/>
    <w:rsid w:val="00F56B49"/>
    <w:rsid w:val="00F70A74"/>
    <w:rsid w:val="00F71F90"/>
    <w:rsid w:val="00F925BF"/>
    <w:rsid w:val="00FB3F76"/>
    <w:rsid w:val="00FF7D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5A2FF"/>
  <w15:docId w15:val="{8969A1A3-57FE-4CD4-B82E-04AD8759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50"/>
    <w:pPr>
      <w:spacing w:after="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5B50"/>
    <w:rPr>
      <w:color w:val="0000FF"/>
      <w:u w:val="single"/>
    </w:rPr>
  </w:style>
  <w:style w:type="paragraph" w:styleId="ListParagraph">
    <w:name w:val="List Paragraph"/>
    <w:basedOn w:val="Normal"/>
    <w:uiPriority w:val="34"/>
    <w:qFormat/>
    <w:rsid w:val="00A55B50"/>
    <w:pPr>
      <w:ind w:left="720" w:firstLine="360"/>
      <w:contextualSpacing/>
    </w:pPr>
    <w:rPr>
      <w:rFonts w:ascii="Calibri" w:hAnsi="Calibri"/>
      <w:sz w:val="22"/>
      <w:szCs w:val="22"/>
      <w:lang w:val="en-US" w:bidi="en-US"/>
    </w:rPr>
  </w:style>
  <w:style w:type="paragraph" w:styleId="NoSpacing">
    <w:name w:val="No Spacing"/>
    <w:uiPriority w:val="99"/>
    <w:qFormat/>
    <w:rsid w:val="00A55B50"/>
    <w:pPr>
      <w:spacing w:after="0" w:line="240" w:lineRule="auto"/>
    </w:pPr>
    <w:rPr>
      <w:rFonts w:ascii="Calibri" w:eastAsia="Calibri" w:hAnsi="Calibri" w:cs="Times New Roman"/>
      <w:lang w:eastAsia="el-GR"/>
    </w:rPr>
  </w:style>
  <w:style w:type="character" w:styleId="FollowedHyperlink">
    <w:name w:val="FollowedHyperlink"/>
    <w:basedOn w:val="DefaultParagraphFont"/>
    <w:uiPriority w:val="99"/>
    <w:semiHidden/>
    <w:unhideWhenUsed/>
    <w:rsid w:val="00903EAF"/>
    <w:rPr>
      <w:color w:val="800080" w:themeColor="followedHyperlink"/>
      <w:u w:val="single"/>
    </w:rPr>
  </w:style>
  <w:style w:type="character" w:styleId="Emphasis">
    <w:name w:val="Emphasis"/>
    <w:basedOn w:val="DefaultParagraphFont"/>
    <w:qFormat/>
    <w:rsid w:val="00235D86"/>
    <w:rPr>
      <w:i/>
      <w:iCs/>
    </w:rPr>
  </w:style>
  <w:style w:type="paragraph" w:styleId="BalloonText">
    <w:name w:val="Balloon Text"/>
    <w:basedOn w:val="Normal"/>
    <w:link w:val="BalloonTextChar"/>
    <w:uiPriority w:val="99"/>
    <w:semiHidden/>
    <w:unhideWhenUsed/>
    <w:rsid w:val="006D3B05"/>
    <w:rPr>
      <w:rFonts w:ascii="Tahoma" w:hAnsi="Tahoma" w:cs="Tahoma"/>
      <w:sz w:val="16"/>
      <w:szCs w:val="16"/>
    </w:rPr>
  </w:style>
  <w:style w:type="character" w:customStyle="1" w:styleId="BalloonTextChar">
    <w:name w:val="Balloon Text Char"/>
    <w:basedOn w:val="DefaultParagraphFont"/>
    <w:link w:val="BalloonText"/>
    <w:uiPriority w:val="99"/>
    <w:semiHidden/>
    <w:rsid w:val="006D3B05"/>
    <w:rPr>
      <w:rFonts w:ascii="Tahoma" w:eastAsia="Times New Roman" w:hAnsi="Tahoma" w:cs="Tahoma"/>
      <w:sz w:val="16"/>
      <w:szCs w:val="16"/>
      <w:lang w:val="en-GB"/>
    </w:rPr>
  </w:style>
  <w:style w:type="paragraph" w:styleId="Header">
    <w:name w:val="header"/>
    <w:basedOn w:val="Normal"/>
    <w:link w:val="HeaderChar"/>
    <w:uiPriority w:val="99"/>
    <w:unhideWhenUsed/>
    <w:rsid w:val="007C0E4B"/>
    <w:pPr>
      <w:tabs>
        <w:tab w:val="center" w:pos="4153"/>
        <w:tab w:val="right" w:pos="8306"/>
      </w:tabs>
      <w:spacing w:after="200" w:line="276" w:lineRule="auto"/>
      <w:jc w:val="left"/>
    </w:pPr>
    <w:rPr>
      <w:rFonts w:ascii="Calibri" w:eastAsia="Calibri" w:hAnsi="Calibri"/>
      <w:sz w:val="22"/>
      <w:szCs w:val="22"/>
      <w:lang w:val="el-GR"/>
    </w:rPr>
  </w:style>
  <w:style w:type="character" w:customStyle="1" w:styleId="HeaderChar">
    <w:name w:val="Header Char"/>
    <w:basedOn w:val="DefaultParagraphFont"/>
    <w:link w:val="Header"/>
    <w:uiPriority w:val="99"/>
    <w:rsid w:val="007C0E4B"/>
    <w:rPr>
      <w:rFonts w:ascii="Calibri" w:eastAsia="Calibri" w:hAnsi="Calibri" w:cs="Times New Roman"/>
    </w:rPr>
  </w:style>
  <w:style w:type="character" w:customStyle="1" w:styleId="hps">
    <w:name w:val="hps"/>
    <w:basedOn w:val="DefaultParagraphFont"/>
    <w:rsid w:val="0003037C"/>
  </w:style>
  <w:style w:type="paragraph" w:customStyle="1" w:styleId="Default">
    <w:name w:val="Default"/>
    <w:rsid w:val="0003037C"/>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xmsonormal">
    <w:name w:val="x_msonormal"/>
    <w:basedOn w:val="Normal"/>
    <w:rsid w:val="00E553DB"/>
    <w:pPr>
      <w:jc w:val="left"/>
    </w:pPr>
    <w:rPr>
      <w:rFonts w:ascii="Calibri" w:eastAsiaTheme="minorHAnsi" w:hAnsi="Calibri" w:cs="Calibri"/>
      <w:sz w:val="22"/>
      <w:szCs w:val="22"/>
      <w:lang w:val="el-GR" w:eastAsia="el-GR"/>
    </w:rPr>
  </w:style>
  <w:style w:type="paragraph" w:styleId="Footer">
    <w:name w:val="footer"/>
    <w:basedOn w:val="Normal"/>
    <w:link w:val="FooterChar"/>
    <w:uiPriority w:val="99"/>
    <w:unhideWhenUsed/>
    <w:rsid w:val="00E553DB"/>
    <w:pPr>
      <w:tabs>
        <w:tab w:val="center" w:pos="4153"/>
        <w:tab w:val="right" w:pos="8306"/>
      </w:tabs>
    </w:pPr>
  </w:style>
  <w:style w:type="character" w:customStyle="1" w:styleId="FooterChar">
    <w:name w:val="Footer Char"/>
    <w:basedOn w:val="DefaultParagraphFont"/>
    <w:link w:val="Footer"/>
    <w:uiPriority w:val="99"/>
    <w:rsid w:val="00E553D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F26EEC"/>
    <w:rPr>
      <w:sz w:val="20"/>
      <w:szCs w:val="20"/>
    </w:rPr>
  </w:style>
  <w:style w:type="character" w:customStyle="1" w:styleId="FootnoteTextChar">
    <w:name w:val="Footnote Text Char"/>
    <w:basedOn w:val="DefaultParagraphFont"/>
    <w:link w:val="FootnoteText"/>
    <w:uiPriority w:val="99"/>
    <w:semiHidden/>
    <w:rsid w:val="00F26EE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26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60732">
      <w:bodyDiv w:val="1"/>
      <w:marLeft w:val="0"/>
      <w:marRight w:val="0"/>
      <w:marTop w:val="0"/>
      <w:marBottom w:val="0"/>
      <w:divBdr>
        <w:top w:val="none" w:sz="0" w:space="0" w:color="auto"/>
        <w:left w:val="none" w:sz="0" w:space="0" w:color="auto"/>
        <w:bottom w:val="none" w:sz="0" w:space="0" w:color="auto"/>
        <w:right w:val="none" w:sz="0" w:space="0" w:color="auto"/>
      </w:divBdr>
    </w:div>
    <w:div w:id="101456071">
      <w:bodyDiv w:val="1"/>
      <w:marLeft w:val="0"/>
      <w:marRight w:val="0"/>
      <w:marTop w:val="0"/>
      <w:marBottom w:val="0"/>
      <w:divBdr>
        <w:top w:val="none" w:sz="0" w:space="0" w:color="auto"/>
        <w:left w:val="none" w:sz="0" w:space="0" w:color="auto"/>
        <w:bottom w:val="none" w:sz="0" w:space="0" w:color="auto"/>
        <w:right w:val="none" w:sz="0" w:space="0" w:color="auto"/>
      </w:divBdr>
    </w:div>
    <w:div w:id="217326118">
      <w:bodyDiv w:val="1"/>
      <w:marLeft w:val="0"/>
      <w:marRight w:val="0"/>
      <w:marTop w:val="0"/>
      <w:marBottom w:val="0"/>
      <w:divBdr>
        <w:top w:val="none" w:sz="0" w:space="0" w:color="auto"/>
        <w:left w:val="none" w:sz="0" w:space="0" w:color="auto"/>
        <w:bottom w:val="none" w:sz="0" w:space="0" w:color="auto"/>
        <w:right w:val="none" w:sz="0" w:space="0" w:color="auto"/>
      </w:divBdr>
    </w:div>
    <w:div w:id="13935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ihu.edu.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y.ihu.edu.gr/" TargetMode="External"/><Relationship Id="rId5" Type="http://schemas.openxmlformats.org/officeDocument/2006/relationships/webSettings" Target="webSettings.xml"/><Relationship Id="rId10" Type="http://schemas.openxmlformats.org/officeDocument/2006/relationships/hyperlink" Target="https://www.ihu.gr/ucips/sst" TargetMode="External"/><Relationship Id="rId4" Type="http://schemas.openxmlformats.org/officeDocument/2006/relationships/settings" Target="settings.xml"/><Relationship Id="rId9" Type="http://schemas.openxmlformats.org/officeDocument/2006/relationships/hyperlink" Target="mailto:admissions@ihu.edu.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5EF1-68D8-4BCB-AC6A-F63ED16A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Koidis</dc:creator>
  <cp:lastModifiedBy>Drakaki Maria</cp:lastModifiedBy>
  <cp:revision>2</cp:revision>
  <cp:lastPrinted>2024-03-07T14:10:00Z</cp:lastPrinted>
  <dcterms:created xsi:type="dcterms:W3CDTF">2025-09-15T12:30:00Z</dcterms:created>
  <dcterms:modified xsi:type="dcterms:W3CDTF">2025-09-15T12:30:00Z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4f1aa58b16006b45553527c34cd79d59d9f9d89c485ed385b7cf52b823ce909d</vt:lpwstr>
  </property>
</Properties>
</file>