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ED0" w:rsidRPr="000C4284" w:rsidRDefault="00C62ED0" w:rsidP="00C62ED0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51604814"/>
      <w:r>
        <w:rPr>
          <w:lang w:val="el-GR"/>
        </w:rPr>
        <w:t>ΠΑΡΑΡΤΗΜΑ ΙΙ – Υπόδειγμα Τεχνικής Προσφοράς</w:t>
      </w:r>
      <w:bookmarkEnd w:id="0"/>
      <w:r>
        <w:rPr>
          <w:lang w:val="el-GR"/>
        </w:rPr>
        <w:t xml:space="preserve"> </w:t>
      </w:r>
    </w:p>
    <w:p w:rsidR="00C62ED0" w:rsidRDefault="00C62ED0" w:rsidP="00C62ED0">
      <w:pPr>
        <w:spacing w:after="0"/>
        <w:rPr>
          <w:rFonts w:ascii="Times New Roman" w:hAnsi="Times New Roman" w:cs="Times New Roman"/>
          <w:b/>
          <w:sz w:val="20"/>
          <w:szCs w:val="20"/>
          <w:lang w:val="el-GR"/>
        </w:rPr>
      </w:pPr>
      <w:r w:rsidRPr="005E092E">
        <w:rPr>
          <w:rFonts w:ascii="Times New Roman" w:hAnsi="Times New Roman" w:cs="Times New Roman"/>
          <w:b/>
          <w:sz w:val="20"/>
          <w:szCs w:val="20"/>
          <w:lang w:val="el-GR"/>
        </w:rPr>
        <w:t>Για το συνοπτικό διαγωνισμό παροχής υπηρεσίας</w:t>
      </w:r>
      <w:r w:rsidRPr="00584C32">
        <w:rPr>
          <w:lang w:val="el-GR"/>
        </w:rPr>
        <w:t xml:space="preserve"> </w:t>
      </w:r>
      <w:r w:rsidRPr="00251B23">
        <w:rPr>
          <w:rFonts w:ascii="Times New Roman" w:hAnsi="Times New Roman" w:cs="Times New Roman"/>
          <w:b/>
          <w:sz w:val="20"/>
          <w:szCs w:val="20"/>
          <w:lang w:val="el-GR"/>
        </w:rPr>
        <w:t>«συντήρησης για το έτος 2021 των αυτόνομων αντλιών θερμότητας και FAN COIL στ</w:t>
      </w:r>
      <w:r>
        <w:rPr>
          <w:rFonts w:ascii="Times New Roman" w:hAnsi="Times New Roman" w:cs="Times New Roman"/>
          <w:b/>
          <w:sz w:val="20"/>
          <w:szCs w:val="20"/>
          <w:lang w:val="el-GR"/>
        </w:rPr>
        <w:t>ις</w:t>
      </w:r>
      <w:r w:rsidRPr="00251B23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  <w:proofErr w:type="spellStart"/>
      <w:r w:rsidRPr="00251B23">
        <w:rPr>
          <w:rFonts w:ascii="Times New Roman" w:hAnsi="Times New Roman" w:cs="Times New Roman"/>
          <w:b/>
          <w:sz w:val="20"/>
          <w:szCs w:val="20"/>
          <w:lang w:val="el-GR"/>
        </w:rPr>
        <w:t>Πανεπ</w:t>
      </w:r>
      <w:proofErr w:type="spellEnd"/>
      <w:r w:rsidRPr="00251B23">
        <w:rPr>
          <w:rFonts w:ascii="Times New Roman" w:hAnsi="Times New Roman" w:cs="Times New Roman"/>
          <w:b/>
          <w:sz w:val="20"/>
          <w:szCs w:val="20"/>
          <w:lang w:val="el-GR"/>
        </w:rPr>
        <w:t>. Καβάλας και Δράμας ΔΙΠΑΕ»</w:t>
      </w:r>
      <w:r w:rsidRPr="00584C32">
        <w:rPr>
          <w:rFonts w:ascii="Times New Roman" w:hAnsi="Times New Roman" w:cs="Times New Roman"/>
          <w:b/>
          <w:sz w:val="20"/>
          <w:szCs w:val="20"/>
          <w:lang w:val="el-GR"/>
        </w:rPr>
        <w:t xml:space="preserve"> </w:t>
      </w:r>
    </w:p>
    <w:tbl>
      <w:tblPr>
        <w:tblW w:w="9680" w:type="dxa"/>
        <w:tblLook w:val="04A0" w:firstRow="1" w:lastRow="0" w:firstColumn="1" w:lastColumn="0" w:noHBand="0" w:noVBand="1"/>
      </w:tblPr>
      <w:tblGrid>
        <w:gridCol w:w="5868"/>
        <w:gridCol w:w="997"/>
        <w:gridCol w:w="1068"/>
        <w:gridCol w:w="1747"/>
      </w:tblGrid>
      <w:tr w:rsidR="00C62ED0" w:rsidRPr="006149FD" w:rsidTr="00C62ED0">
        <w:trPr>
          <w:trHeight w:val="30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ED0" w:rsidRPr="006149FD" w:rsidRDefault="00C62ED0" w:rsidP="00A8524E">
            <w:pPr>
              <w:spacing w:after="0"/>
              <w:contextualSpacing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ΠΕΡΙΓΡΑΦΗ ΕΡΓΑΣΙΑΣ</w:t>
            </w:r>
            <w:r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- ΦΥΛΛΟ ΣΥΜΜΟΡΦΩΣΗΣ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contextualSpacing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ΑΠΑΙΤΗΣΗ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contextualSpacing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ΑΠΑΝΤΗΣΗ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contextualSpacing/>
              <w:jc w:val="center"/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ΠΑΡΑΤΗΡΗΣΕΙΣ</w:t>
            </w:r>
          </w:p>
        </w:tc>
      </w:tr>
      <w:tr w:rsidR="00C62ED0" w:rsidRPr="00E85580" w:rsidTr="00C62ED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D0" w:rsidRPr="006149FD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Κατά την συντήρηση των αυτόνομων αντλιών θερμότητας διαφόρων τύπων θα γίνει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C62ED0" w:rsidRPr="00D13DA0" w:rsidTr="00C62ED0">
        <w:trPr>
          <w:trHeight w:val="37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D13DA0">
              <w:rPr>
                <w:rFonts w:asciiTheme="minorHAnsi" w:hAnsiTheme="minorHAnsi"/>
                <w:sz w:val="18"/>
                <w:szCs w:val="18"/>
                <w:lang w:val="el-GR"/>
              </w:rPr>
              <w:t>1.Χημικός καθαρισμός των στοιχείων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ED0" w:rsidRPr="00D13DA0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C62ED0" w:rsidRPr="00D13DA0" w:rsidTr="00C62ED0">
        <w:trPr>
          <w:trHeight w:val="27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D13DA0">
              <w:rPr>
                <w:rFonts w:asciiTheme="minorHAnsi" w:hAnsiTheme="minorHAnsi"/>
                <w:sz w:val="18"/>
                <w:szCs w:val="18"/>
                <w:lang w:val="el-GR"/>
              </w:rPr>
              <w:t>2.Έλεγχος των πιέσεων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ED0" w:rsidRPr="00D13DA0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C62ED0" w:rsidRPr="00D13DA0" w:rsidTr="00C62ED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D13DA0">
              <w:rPr>
                <w:rFonts w:asciiTheme="minorHAnsi" w:hAnsiTheme="minorHAnsi"/>
                <w:sz w:val="18"/>
                <w:szCs w:val="18"/>
                <w:lang w:val="el-GR"/>
              </w:rPr>
              <w:t>3.Έλεγχος για διαρροές  ψυκτικού φορέα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ED0" w:rsidRPr="00D13DA0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  <w:t> </w:t>
            </w:r>
          </w:p>
        </w:tc>
      </w:tr>
      <w:tr w:rsidR="00C62ED0" w:rsidRPr="00D13DA0" w:rsidTr="00C62ED0">
        <w:trPr>
          <w:trHeight w:val="2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D13DA0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4.Έλεγχος και καθαρισμός αποχετεύσεων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ED0" w:rsidRPr="00D13DA0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</w:p>
        </w:tc>
      </w:tr>
      <w:tr w:rsidR="00C62ED0" w:rsidRPr="00D13DA0" w:rsidTr="00C62ED0">
        <w:trPr>
          <w:trHeight w:val="24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D13DA0">
              <w:rPr>
                <w:rFonts w:asciiTheme="minorHAnsi" w:hAnsiTheme="minorHAnsi"/>
                <w:sz w:val="18"/>
                <w:szCs w:val="18"/>
                <w:lang w:val="el-GR"/>
              </w:rPr>
              <w:t xml:space="preserve">5.Έλεγχος αυτοματισμών,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ED0" w:rsidRPr="00D13DA0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</w:p>
        </w:tc>
      </w:tr>
      <w:tr w:rsidR="00C62ED0" w:rsidRPr="00D13DA0" w:rsidTr="00C62ED0">
        <w:trPr>
          <w:trHeight w:val="39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D13DA0">
              <w:rPr>
                <w:rFonts w:asciiTheme="minorHAnsi" w:hAnsiTheme="minorHAnsi"/>
                <w:sz w:val="18"/>
                <w:szCs w:val="18"/>
                <w:lang w:val="el-GR"/>
              </w:rPr>
              <w:t>6.Καθαρισμός φίλτρων για την απομάκρυνση παθογόνων οργανισμών,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ED0" w:rsidRPr="00D13DA0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</w:p>
        </w:tc>
      </w:tr>
      <w:tr w:rsidR="00C62ED0" w:rsidRPr="00D13DA0" w:rsidTr="00C62ED0">
        <w:trPr>
          <w:trHeight w:val="26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D13DA0">
              <w:rPr>
                <w:rFonts w:asciiTheme="minorHAnsi" w:hAnsiTheme="minorHAnsi"/>
                <w:sz w:val="18"/>
                <w:szCs w:val="18"/>
                <w:lang w:val="el-GR"/>
              </w:rPr>
              <w:t>7.Έλεγχος, καθαρισμός και λίπανση των ανεμιστήρων,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ED0" w:rsidRPr="00D13DA0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</w:p>
        </w:tc>
      </w:tr>
      <w:tr w:rsidR="00C62ED0" w:rsidRPr="00D13DA0" w:rsidTr="00C62ED0">
        <w:trPr>
          <w:trHeight w:val="274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D13DA0">
              <w:rPr>
                <w:rFonts w:asciiTheme="minorHAnsi" w:hAnsiTheme="minorHAnsi"/>
                <w:sz w:val="18"/>
                <w:szCs w:val="18"/>
                <w:lang w:val="el-GR"/>
              </w:rPr>
              <w:t>8.Έλεγχος επαρκούς στήριξης για αποφυγή κραδασμών,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ED0" w:rsidRPr="00D13DA0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</w:p>
        </w:tc>
      </w:tr>
      <w:tr w:rsidR="00C62ED0" w:rsidRPr="00D13DA0" w:rsidTr="00C62ED0">
        <w:trPr>
          <w:trHeight w:val="27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D13DA0">
              <w:rPr>
                <w:rFonts w:asciiTheme="minorHAnsi" w:hAnsiTheme="minorHAnsi"/>
                <w:sz w:val="18"/>
                <w:szCs w:val="18"/>
                <w:lang w:val="el-GR"/>
              </w:rPr>
              <w:t>9.Έλεγχος και καθαρισμός ηλεκτρικών συνδέσεων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ED0" w:rsidRPr="00D13DA0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</w:p>
        </w:tc>
      </w:tr>
      <w:tr w:rsidR="00C62ED0" w:rsidRPr="00D13DA0" w:rsidTr="00C62ED0">
        <w:trPr>
          <w:trHeight w:val="27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D13DA0">
              <w:rPr>
                <w:rFonts w:asciiTheme="minorHAnsi" w:hAnsiTheme="minorHAnsi"/>
                <w:sz w:val="18"/>
                <w:szCs w:val="18"/>
                <w:lang w:val="el-GR"/>
              </w:rPr>
              <w:t>10.Έλεγχος θερμοστάτη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ED0" w:rsidRPr="00D13DA0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</w:p>
        </w:tc>
      </w:tr>
      <w:tr w:rsidR="00C62ED0" w:rsidRPr="00D13DA0" w:rsidTr="00C62ED0">
        <w:trPr>
          <w:trHeight w:val="267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/>
                <w:sz w:val="18"/>
                <w:szCs w:val="18"/>
                <w:lang w:val="el-GR"/>
              </w:rPr>
            </w:pPr>
            <w:r w:rsidRPr="00D13DA0">
              <w:rPr>
                <w:rFonts w:asciiTheme="minorHAnsi" w:hAnsiTheme="minorHAnsi"/>
                <w:sz w:val="18"/>
                <w:szCs w:val="18"/>
                <w:lang w:val="el-GR"/>
              </w:rPr>
              <w:t>11.Έλεγχος και αντικατάσταση μόνωσης σωληνώσεων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ED0" w:rsidRPr="00D13DA0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D13DA0" w:rsidRDefault="00C62ED0" w:rsidP="00A8524E">
            <w:pPr>
              <w:spacing w:after="0"/>
              <w:contextualSpacing/>
              <w:rPr>
                <w:rFonts w:asciiTheme="minorHAnsi" w:hAnsiTheme="minorHAnsi" w:cs="Times New Roman"/>
                <w:color w:val="000000"/>
                <w:szCs w:val="22"/>
                <w:lang w:val="el-GR" w:eastAsia="el-GR"/>
              </w:rPr>
            </w:pPr>
          </w:p>
        </w:tc>
      </w:tr>
      <w:tr w:rsidR="00C62ED0" w:rsidRPr="00E85580" w:rsidTr="00C62ED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Κατά την συντήρηση  των τοπικών μονάδων FAN COIL, θα γίνουν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C62ED0" w:rsidRPr="006149FD" w:rsidTr="00C62ED0">
        <w:trPr>
          <w:trHeight w:val="36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1.</w:t>
            </w: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Χημικός καθαρισμός των στοιχείων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C62ED0" w:rsidRPr="006149FD" w:rsidTr="00C62ED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2.</w:t>
            </w: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Έλεγχος και καθαρισμός αποχετεύσεων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C62ED0" w:rsidRPr="006149FD" w:rsidTr="00C62ED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3.</w:t>
            </w: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Έλεγχος αυτοματισμών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C62ED0" w:rsidRPr="006149FD" w:rsidTr="00C62ED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4.</w:t>
            </w: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Έλεγχος, καθαρισμός και λίπανση των ανεμιστήρων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C62ED0" w:rsidRPr="006149FD" w:rsidTr="00C62ED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5.</w:t>
            </w: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Έλεγχος  επαρκούς στήριξης για αποφυγή κραδασμών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C62ED0" w:rsidRPr="00D13DA0" w:rsidTr="00C62ED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D0" w:rsidRPr="00D13DA0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6.</w:t>
            </w: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Έλεγχος και καθαρισμός ηλεκτρικών συνδέσεων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62ED0" w:rsidRPr="00D13DA0" w:rsidTr="00C62ED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ED0" w:rsidRPr="00D13DA0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7.</w:t>
            </w: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Έλεγχος και καθαρισμός ηλεκτρικών συνδέσεων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D13DA0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62ED0" w:rsidRPr="006149FD" w:rsidTr="00C62ED0">
        <w:trPr>
          <w:trHeight w:val="4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ED0" w:rsidRPr="002F0082" w:rsidRDefault="00C62ED0" w:rsidP="00A8524E">
            <w:pPr>
              <w:spacing w:after="0"/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2F0082"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Ο ανάδοχος υποχρεούται</w:t>
            </w:r>
            <w:r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να</w:t>
            </w:r>
            <w:r w:rsidRPr="002F0082">
              <w:rPr>
                <w:rFonts w:asciiTheme="minorHAnsi" w:hAnsiTheme="minorHAnsi" w:cs="Times New Roman"/>
                <w:b/>
                <w:bCs/>
                <w:color w:val="00000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C62ED0" w:rsidRPr="006149FD" w:rsidTr="00C62ED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3E1A39" w:rsidRDefault="00C62ED0" w:rsidP="00A8524E">
            <w:pPr>
              <w:spacing w:after="0"/>
              <w:jc w:val="left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3E1A39">
              <w:rPr>
                <w:sz w:val="18"/>
                <w:szCs w:val="18"/>
                <w:lang w:val="el-GR"/>
              </w:rPr>
              <w:t xml:space="preserve">1.Εκτελεί τη συντήρηση  σύμφωνα με τις προδιαγραφές του κατασκευαστή  του εξοπλισμού, σύμφωνα με το πρόγραμμα συντήρησης που  θα συμφωνηθεί </w:t>
            </w:r>
            <w:r>
              <w:rPr>
                <w:sz w:val="18"/>
                <w:szCs w:val="18"/>
                <w:lang w:val="el-GR"/>
              </w:rPr>
              <w:t xml:space="preserve">με </w:t>
            </w:r>
            <w:r w:rsidRPr="003E1A39">
              <w:rPr>
                <w:sz w:val="18"/>
                <w:szCs w:val="18"/>
                <w:lang w:val="el-GR"/>
              </w:rPr>
              <w:t>όλους τους κανόνες της τέχνης, λαμβάνοντας όλα τα απαραίτητα μέτρα ασφαλείας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C62ED0" w:rsidRPr="006149FD" w:rsidTr="00C62ED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3E1A39" w:rsidRDefault="00C62ED0" w:rsidP="00A8524E">
            <w:pPr>
              <w:spacing w:after="0"/>
              <w:rPr>
                <w:rFonts w:asciiTheme="minorHAnsi" w:hAnsiTheme="minorHAnsi" w:cs="Times New Roman"/>
                <w:strike/>
                <w:color w:val="000000"/>
                <w:sz w:val="18"/>
                <w:szCs w:val="18"/>
                <w:lang w:val="el-GR" w:eastAsia="el-GR"/>
              </w:rPr>
            </w:pPr>
            <w:r w:rsidRPr="003E1A39">
              <w:rPr>
                <w:sz w:val="18"/>
                <w:szCs w:val="18"/>
                <w:lang w:val="el-GR"/>
              </w:rPr>
              <w:t>2.Υποβάλλει κοστολογημένο κατάλογο με αναλώσιμα  υλικά και επιπλέον εξοπλισμό που απαιτείται για αποκατάσταση βλαβών, που θα εγκρίνονται από το τμήμα Συντήρησης Καβάλας του ΔΙΠΑΕ. Η προμήθεια θα γίνεται από το ΔΙΠΑΕ και ο ανάδοχος θα αναλαμβάνει την ενσωμάτωσή τους, με πρόσθετη  επιβάρυνση  την εργασία τοποθέτησης των υλικών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6149FD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</w:tr>
      <w:tr w:rsidR="00C62ED0" w:rsidRPr="002E081B" w:rsidTr="00C62ED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3E1A39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3E1A39">
              <w:rPr>
                <w:sz w:val="18"/>
                <w:szCs w:val="18"/>
                <w:lang w:val="el-GR"/>
              </w:rPr>
              <w:t>3.Διενεργεί όλες τις εργασίες συντήρησης στις μονάδες με απόλυτη ευθύνη του και αποκλειστικά από το εξειδικευμένο προσωπικό του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C25167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62ED0" w:rsidRPr="002E081B" w:rsidTr="00C62ED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3E1A39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3E1A39">
              <w:rPr>
                <w:sz w:val="18"/>
                <w:szCs w:val="18"/>
                <w:lang w:val="el-GR"/>
              </w:rPr>
              <w:t>4.Κοινοποιεί στο τμήμα Συντήρησης  Καβάλας  ΔΙΠΑΕ,  κατάσταση με  τα ονόματα του προσωπικού που θα διενεργήσουν τις εργασίες και συνεννοείται για την ημέρα και ώρα εκτέλεσης των εργασιών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C25167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62ED0" w:rsidRPr="002E081B" w:rsidTr="00C62ED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3E1A39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3E1A39">
              <w:rPr>
                <w:sz w:val="18"/>
                <w:szCs w:val="18"/>
                <w:lang w:val="el-GR"/>
              </w:rPr>
              <w:t xml:space="preserve">5.Παραδίνονται στην  επιβλέπουσα υπηρεσία τα στοιχεία και τα τεχνικά χαρακτηριστικά των μηχανημάτων που συντηρήθηκαν καθημερινά και μετά το πέρας των εργασιών.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C25167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62ED0" w:rsidRPr="002E081B" w:rsidTr="00C62ED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3E1A39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3E1A39">
              <w:rPr>
                <w:sz w:val="18"/>
                <w:szCs w:val="18"/>
                <w:lang w:val="el-GR"/>
              </w:rPr>
              <w:t xml:space="preserve">6.Βαρύνεται με το κόστος των </w:t>
            </w:r>
            <w:proofErr w:type="spellStart"/>
            <w:r w:rsidRPr="003E1A39">
              <w:rPr>
                <w:sz w:val="18"/>
                <w:szCs w:val="18"/>
                <w:lang w:val="el-GR"/>
              </w:rPr>
              <w:t>μικροϋλικών</w:t>
            </w:r>
            <w:proofErr w:type="spellEnd"/>
            <w:r w:rsidRPr="003E1A39">
              <w:rPr>
                <w:sz w:val="18"/>
                <w:szCs w:val="18"/>
                <w:lang w:val="el-GR"/>
              </w:rPr>
              <w:t xml:space="preserve"> (χημικά υγρά,  καθαριστικά, υγρά, ), των εργασιών αποκατάστασης καλής λειτουργίας, (πλην των εργασιών εγκατάστασης νέων ανταλλακτικών)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C25167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C62ED0" w:rsidRPr="002E081B" w:rsidTr="00C62ED0">
        <w:trPr>
          <w:trHeight w:val="3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ED0" w:rsidRPr="003E1A39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3E1A39">
              <w:rPr>
                <w:sz w:val="18"/>
                <w:szCs w:val="18"/>
                <w:lang w:val="el-GR"/>
              </w:rPr>
              <w:t xml:space="preserve">7.Το κόστος εργασίας πιθανής αντικατάστασης </w:t>
            </w:r>
            <w:r w:rsidRPr="003E1A39">
              <w:rPr>
                <w:sz w:val="18"/>
                <w:szCs w:val="18"/>
              </w:rPr>
              <w:t>FAN</w:t>
            </w:r>
            <w:r w:rsidRPr="003E1A39">
              <w:rPr>
                <w:sz w:val="18"/>
                <w:szCs w:val="18"/>
                <w:lang w:val="el-GR"/>
              </w:rPr>
              <w:t xml:space="preserve"> </w:t>
            </w:r>
            <w:r w:rsidRPr="003E1A39">
              <w:rPr>
                <w:sz w:val="18"/>
                <w:szCs w:val="18"/>
              </w:rPr>
              <w:t>COIL</w:t>
            </w:r>
            <w:r w:rsidRPr="003E1A39">
              <w:rPr>
                <w:sz w:val="18"/>
                <w:szCs w:val="18"/>
                <w:lang w:val="el-GR"/>
              </w:rPr>
              <w:t>, θα είναι ίσο με το κόστος συντήρησης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  <w:r w:rsidRPr="00C25167"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  <w:t>ΝΑΙ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ED0" w:rsidRPr="006149FD" w:rsidRDefault="00C62ED0" w:rsidP="00A8524E">
            <w:pPr>
              <w:spacing w:after="0"/>
              <w:rPr>
                <w:rFonts w:asciiTheme="minorHAnsi" w:hAnsiTheme="minorHAns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:rsidR="00C62ED0" w:rsidRPr="00670B63" w:rsidRDefault="00C62ED0" w:rsidP="00C62ED0">
      <w:pPr>
        <w:suppressAutoHyphens w:val="0"/>
        <w:spacing w:after="0"/>
        <w:jc w:val="center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</w:t>
      </w:r>
      <w:r w:rsidRPr="00670B63">
        <w:rPr>
          <w:lang w:val="el-GR"/>
        </w:rPr>
        <w:t>Ο/Η Δηλών/ούσα</w:t>
      </w:r>
    </w:p>
    <w:p w:rsidR="00C62ED0" w:rsidRDefault="00C62ED0" w:rsidP="00C62ED0">
      <w:pPr>
        <w:suppressAutoHyphens w:val="0"/>
        <w:spacing w:after="0"/>
        <w:jc w:val="right"/>
        <w:rPr>
          <w:lang w:val="el-GR"/>
        </w:rPr>
      </w:pPr>
      <w:r w:rsidRPr="00670B63">
        <w:rPr>
          <w:lang w:val="el-GR"/>
        </w:rPr>
        <w:t>(ΥΠΟΓΡΑΦΗ ΝΟΜΙΜΟΥ ΕΚΠΡΟΣΩΠΟΥ/ΣΦΡΑΓΙΔΑ ΕΤΑΙΡΕΙΑΣ)</w:t>
      </w:r>
    </w:p>
    <w:p w:rsidR="00FB0F40" w:rsidRPr="00C62ED0" w:rsidRDefault="00FB0F40">
      <w:pPr>
        <w:rPr>
          <w:lang w:val="el-GR"/>
        </w:rPr>
      </w:pPr>
      <w:bookmarkStart w:id="1" w:name="_GoBack"/>
      <w:bookmarkEnd w:id="1"/>
    </w:p>
    <w:sectPr w:rsidR="00FB0F40" w:rsidRPr="00C62ED0" w:rsidSect="00C62ED0">
      <w:pgSz w:w="12240" w:h="15840"/>
      <w:pgMar w:top="907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AE"/>
    <w:rsid w:val="00706BAE"/>
    <w:rsid w:val="00C62ED0"/>
    <w:rsid w:val="00D26E73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3E20B-2D05-4446-A987-3DDFCA65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ED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C62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C62ED0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C62ED0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C62E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Γεωργιάδου Βασιλίκη</cp:lastModifiedBy>
  <cp:revision>2</cp:revision>
  <dcterms:created xsi:type="dcterms:W3CDTF">2021-04-23T07:04:00Z</dcterms:created>
  <dcterms:modified xsi:type="dcterms:W3CDTF">2021-04-23T07:07:00Z</dcterms:modified>
</cp:coreProperties>
</file>