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CFA1" w14:textId="77777777" w:rsidR="00B65DBB" w:rsidRPr="00260B36" w:rsidRDefault="00546300" w:rsidP="00546300">
      <w:pPr>
        <w:jc w:val="center"/>
        <w:rPr>
          <w:rFonts w:cstheme="minorHAnsi"/>
        </w:rPr>
      </w:pPr>
      <w:r w:rsidRPr="00546300">
        <w:rPr>
          <w:noProof/>
          <w:sz w:val="22"/>
          <w:szCs w:val="22"/>
          <w:lang w:eastAsia="el-GR"/>
        </w:rPr>
        <w:drawing>
          <wp:inline distT="0" distB="0" distL="0" distR="0" wp14:anchorId="071E6255" wp14:editId="33AF1632">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14:paraId="6A5C284E" w14:textId="77777777" w:rsidR="00B65DBB" w:rsidRPr="008004F8" w:rsidRDefault="00B65DBB" w:rsidP="008004F8">
      <w:pPr>
        <w:pStyle w:val="ListParagraph"/>
        <w:tabs>
          <w:tab w:val="left" w:pos="6804"/>
        </w:tabs>
        <w:spacing w:after="0" w:line="240" w:lineRule="auto"/>
        <w:ind w:left="0" w:firstLine="6"/>
        <w:contextualSpacing w:val="0"/>
        <w:jc w:val="both"/>
        <w:rPr>
          <w:rFonts w:cstheme="minorHAnsi"/>
          <w:lang w:val="el-GR"/>
        </w:rPr>
      </w:pPr>
      <w:r w:rsidRPr="00567FE2">
        <w:rPr>
          <w:rFonts w:asciiTheme="minorHAnsi" w:hAnsiTheme="minorHAnsi" w:cstheme="minorHAnsi"/>
          <w:lang w:val="el-GR"/>
        </w:rPr>
        <w:tab/>
      </w:r>
      <w:r w:rsidR="008004F8" w:rsidRPr="008004F8">
        <w:rPr>
          <w:rFonts w:asciiTheme="minorHAnsi" w:hAnsiTheme="minorHAnsi" w:cstheme="minorHAnsi"/>
          <w:lang w:val="el-GR"/>
        </w:rPr>
        <w:t xml:space="preserve"> </w:t>
      </w:r>
    </w:p>
    <w:p w14:paraId="6C8329DA" w14:textId="77777777" w:rsidR="00EE4C6E" w:rsidRPr="00DA227A" w:rsidRDefault="00EE4C6E" w:rsidP="00B65DBB">
      <w:pPr>
        <w:rPr>
          <w:rFonts w:cstheme="minorHAnsi"/>
        </w:rPr>
      </w:pPr>
    </w:p>
    <w:p w14:paraId="7EE97126" w14:textId="77777777" w:rsidR="00EE4C6E" w:rsidRPr="00DA227A" w:rsidRDefault="00EE4C6E" w:rsidP="00B65DBB">
      <w:pPr>
        <w:rPr>
          <w:rFonts w:cstheme="minorHAnsi"/>
        </w:rPr>
      </w:pPr>
    </w:p>
    <w:p w14:paraId="5CA6C0CE" w14:textId="77777777" w:rsidR="00EE4C6E" w:rsidRPr="00DA227A" w:rsidRDefault="00EE4C6E" w:rsidP="00B65DBB">
      <w:pPr>
        <w:rPr>
          <w:rFonts w:cstheme="minorHAnsi"/>
        </w:rPr>
      </w:pPr>
    </w:p>
    <w:p w14:paraId="043F7E60" w14:textId="77777777" w:rsidR="00EE4C6E" w:rsidRPr="00DA227A" w:rsidRDefault="00EE4C6E" w:rsidP="00B65DBB">
      <w:pPr>
        <w:rPr>
          <w:rFonts w:cstheme="minorHAnsi"/>
        </w:rPr>
      </w:pPr>
    </w:p>
    <w:p w14:paraId="12DFCCB2" w14:textId="77777777" w:rsidR="00EE4C6E" w:rsidRPr="00DA227A" w:rsidRDefault="00EE4C6E" w:rsidP="00B65DBB">
      <w:pPr>
        <w:rPr>
          <w:rFonts w:cstheme="minorHAnsi"/>
        </w:rPr>
      </w:pPr>
    </w:p>
    <w:p w14:paraId="2EBC7566" w14:textId="77777777" w:rsidR="00EE4C6E" w:rsidRPr="00DA227A" w:rsidRDefault="00EE4C6E" w:rsidP="00B65DBB">
      <w:pPr>
        <w:rPr>
          <w:rFonts w:cstheme="minorHAnsi"/>
        </w:rPr>
      </w:pPr>
    </w:p>
    <w:p w14:paraId="0EF08E65" w14:textId="77777777" w:rsidR="00EE4C6E" w:rsidRPr="00DA227A" w:rsidRDefault="00EE4C6E" w:rsidP="00B65DBB">
      <w:pPr>
        <w:rPr>
          <w:rFonts w:cstheme="minorHAnsi"/>
        </w:rPr>
      </w:pPr>
    </w:p>
    <w:p w14:paraId="3D935EFB" w14:textId="77777777" w:rsidR="00EE4C6E" w:rsidRPr="00DA227A" w:rsidRDefault="00872041" w:rsidP="00B65DBB">
      <w:pPr>
        <w:rPr>
          <w:rFonts w:cstheme="minorHAnsi"/>
        </w:rPr>
      </w:pPr>
      <w:r>
        <w:rPr>
          <w:rFonts w:cstheme="minorHAnsi"/>
        </w:rPr>
        <w:t xml:space="preserve">                                                                                    </w:t>
      </w:r>
    </w:p>
    <w:p w14:paraId="59AF960E" w14:textId="77777777" w:rsidR="00EE4C6E" w:rsidRPr="00DA227A" w:rsidRDefault="00EE4C6E" w:rsidP="00B65DBB">
      <w:pPr>
        <w:rPr>
          <w:rFonts w:cstheme="minorHAnsi"/>
        </w:rPr>
      </w:pPr>
    </w:p>
    <w:p w14:paraId="401C6CE1" w14:textId="77777777" w:rsidR="00EE4C6E" w:rsidRPr="00DA227A" w:rsidRDefault="00EE4C6E" w:rsidP="00B65DBB">
      <w:pPr>
        <w:rPr>
          <w:rFonts w:cstheme="minorHAnsi"/>
        </w:rPr>
      </w:pPr>
    </w:p>
    <w:p w14:paraId="1D89CCC1" w14:textId="77777777" w:rsidR="00EE4C6E" w:rsidRPr="00DA227A" w:rsidRDefault="00EE4C6E" w:rsidP="00B65DBB">
      <w:pPr>
        <w:rPr>
          <w:rFonts w:cstheme="minorHAnsi"/>
        </w:rPr>
      </w:pPr>
    </w:p>
    <w:p w14:paraId="4A80D9DC" w14:textId="77777777" w:rsidR="00EE4C6E" w:rsidRPr="00DB3348" w:rsidRDefault="00DB3348" w:rsidP="00DB3348">
      <w:pPr>
        <w:jc w:val="center"/>
        <w:rPr>
          <w:rFonts w:cstheme="minorHAnsi"/>
          <w:b/>
          <w:spacing w:val="28"/>
          <w:sz w:val="28"/>
          <w:szCs w:val="28"/>
        </w:rPr>
      </w:pPr>
      <w:r w:rsidRPr="00DB3348">
        <w:rPr>
          <w:rFonts w:cstheme="minorHAnsi"/>
          <w:b/>
          <w:spacing w:val="28"/>
          <w:sz w:val="28"/>
          <w:szCs w:val="28"/>
        </w:rPr>
        <w:t>Υπόδειγμα για τη σύνταξη</w:t>
      </w:r>
    </w:p>
    <w:p w14:paraId="4C32AD47" w14:textId="77777777" w:rsidR="00DB3348" w:rsidRDefault="00DB3348" w:rsidP="00EC19CD">
      <w:pPr>
        <w:jc w:val="center"/>
        <w:rPr>
          <w:rFonts w:cstheme="minorHAnsi"/>
          <w:b/>
          <w:spacing w:val="28"/>
          <w:sz w:val="28"/>
          <w:szCs w:val="28"/>
        </w:rPr>
      </w:pPr>
      <w:r w:rsidRPr="00DB3348">
        <w:rPr>
          <w:rFonts w:cstheme="minorHAnsi"/>
          <w:b/>
          <w:spacing w:val="28"/>
          <w:sz w:val="28"/>
          <w:szCs w:val="28"/>
        </w:rPr>
        <w:t xml:space="preserve">Πρότασης </w:t>
      </w:r>
      <w:r w:rsidR="00EC19CD">
        <w:rPr>
          <w:rFonts w:cstheme="minorHAnsi"/>
          <w:b/>
          <w:spacing w:val="28"/>
          <w:sz w:val="28"/>
          <w:szCs w:val="28"/>
        </w:rPr>
        <w:t xml:space="preserve">Ακαδημαϊκής </w:t>
      </w:r>
      <w:r w:rsidRPr="00DB3348">
        <w:rPr>
          <w:rFonts w:cstheme="minorHAnsi"/>
          <w:b/>
          <w:spacing w:val="28"/>
          <w:sz w:val="28"/>
          <w:szCs w:val="28"/>
        </w:rPr>
        <w:t>Πιστοποίησης</w:t>
      </w:r>
      <w:r w:rsidR="00BC5D74" w:rsidRPr="00BC5D74">
        <w:rPr>
          <w:rFonts w:cstheme="minorHAnsi"/>
          <w:b/>
          <w:spacing w:val="28"/>
          <w:sz w:val="28"/>
          <w:szCs w:val="28"/>
        </w:rPr>
        <w:t xml:space="preserve"> </w:t>
      </w:r>
    </w:p>
    <w:p w14:paraId="4F2E6D42" w14:textId="77777777" w:rsidR="00EC19CD" w:rsidRPr="00DB3348" w:rsidRDefault="00EC19CD" w:rsidP="00EC19CD">
      <w:pPr>
        <w:jc w:val="center"/>
        <w:rPr>
          <w:rFonts w:cstheme="minorHAnsi"/>
          <w:b/>
          <w:spacing w:val="28"/>
          <w:sz w:val="28"/>
          <w:szCs w:val="28"/>
        </w:rPr>
      </w:pPr>
      <w:r>
        <w:rPr>
          <w:rFonts w:cstheme="minorHAnsi"/>
          <w:b/>
          <w:spacing w:val="28"/>
          <w:sz w:val="28"/>
          <w:szCs w:val="28"/>
        </w:rPr>
        <w:t>Προγράμματος Διδακτορικών Σπουδών</w:t>
      </w:r>
    </w:p>
    <w:p w14:paraId="43226F78" w14:textId="77777777" w:rsidR="00967C16" w:rsidRPr="00DA227A" w:rsidRDefault="00967C16" w:rsidP="00B65DBB">
      <w:pPr>
        <w:rPr>
          <w:rFonts w:cstheme="minorHAnsi"/>
        </w:rPr>
      </w:pPr>
    </w:p>
    <w:p w14:paraId="1B1B170D" w14:textId="77777777" w:rsidR="00967C16" w:rsidRDefault="00967C16" w:rsidP="00B65DBB">
      <w:pPr>
        <w:rPr>
          <w:rFonts w:cstheme="minorHAnsi"/>
        </w:rPr>
      </w:pPr>
    </w:p>
    <w:p w14:paraId="795019FF" w14:textId="77777777" w:rsidR="00D02984" w:rsidRDefault="00D02984" w:rsidP="00B65DBB">
      <w:pPr>
        <w:rPr>
          <w:rFonts w:cstheme="minorHAnsi"/>
        </w:rPr>
      </w:pPr>
    </w:p>
    <w:p w14:paraId="11024865" w14:textId="77777777" w:rsidR="00D02984" w:rsidRDefault="00D02984" w:rsidP="00B65DBB">
      <w:pPr>
        <w:rPr>
          <w:rFonts w:cstheme="minorHAnsi"/>
        </w:rPr>
      </w:pPr>
    </w:p>
    <w:p w14:paraId="1FA00ECE" w14:textId="77777777" w:rsidR="00D02984" w:rsidRDefault="00D02984" w:rsidP="00B65DBB">
      <w:pPr>
        <w:rPr>
          <w:rFonts w:cstheme="minorHAnsi"/>
        </w:rPr>
      </w:pPr>
    </w:p>
    <w:p w14:paraId="5A64AC95" w14:textId="77777777" w:rsidR="00D02984" w:rsidRDefault="00D02984" w:rsidP="00B65DBB">
      <w:pPr>
        <w:rPr>
          <w:rFonts w:cstheme="minorHAnsi"/>
        </w:rPr>
      </w:pPr>
    </w:p>
    <w:p w14:paraId="633DAF5C" w14:textId="77777777" w:rsidR="00D02984" w:rsidRDefault="00D02984" w:rsidP="00B65DBB">
      <w:pPr>
        <w:rPr>
          <w:rFonts w:cstheme="minorHAnsi"/>
        </w:rPr>
      </w:pPr>
    </w:p>
    <w:p w14:paraId="507D5774" w14:textId="77777777" w:rsidR="00D02984" w:rsidRDefault="00D02984" w:rsidP="00B65DBB">
      <w:pPr>
        <w:rPr>
          <w:rFonts w:cstheme="minorHAnsi"/>
        </w:rPr>
      </w:pPr>
    </w:p>
    <w:p w14:paraId="7390E0B8" w14:textId="77777777" w:rsidR="00D02984" w:rsidRDefault="00D02984" w:rsidP="00B65DBB">
      <w:pPr>
        <w:rPr>
          <w:rFonts w:cstheme="minorHAnsi"/>
        </w:rPr>
      </w:pPr>
    </w:p>
    <w:p w14:paraId="1809DC0C" w14:textId="77777777" w:rsidR="00D02984" w:rsidRDefault="00D02984" w:rsidP="00B65DBB">
      <w:pPr>
        <w:rPr>
          <w:rFonts w:cstheme="minorHAnsi"/>
        </w:rPr>
      </w:pPr>
    </w:p>
    <w:p w14:paraId="4D4B6CBC" w14:textId="77777777" w:rsidR="00D02984" w:rsidRDefault="00D02984" w:rsidP="00B65DBB">
      <w:pPr>
        <w:rPr>
          <w:rFonts w:cstheme="minorHAnsi"/>
        </w:rPr>
      </w:pPr>
    </w:p>
    <w:p w14:paraId="619740DC" w14:textId="77777777" w:rsidR="00D02984" w:rsidRDefault="00D02984" w:rsidP="00B65DBB">
      <w:pPr>
        <w:rPr>
          <w:rFonts w:cstheme="minorHAnsi"/>
        </w:rPr>
      </w:pPr>
    </w:p>
    <w:p w14:paraId="02A02C97" w14:textId="77777777" w:rsidR="00D02984" w:rsidRDefault="00D02984" w:rsidP="00B65DBB">
      <w:pPr>
        <w:rPr>
          <w:rFonts w:cstheme="minorHAnsi"/>
        </w:rPr>
      </w:pPr>
    </w:p>
    <w:p w14:paraId="55DB4936" w14:textId="77777777" w:rsidR="00D02984" w:rsidRDefault="00D02984" w:rsidP="00B65DBB">
      <w:pPr>
        <w:rPr>
          <w:rFonts w:cstheme="minorHAnsi"/>
        </w:rPr>
      </w:pPr>
    </w:p>
    <w:p w14:paraId="58948AD6" w14:textId="77777777" w:rsidR="00567FE2" w:rsidRDefault="00567FE2" w:rsidP="00DB3348">
      <w:pPr>
        <w:jc w:val="center"/>
        <w:rPr>
          <w:rFonts w:cstheme="minorHAnsi"/>
        </w:rPr>
      </w:pPr>
    </w:p>
    <w:p w14:paraId="559F2C00" w14:textId="77777777" w:rsidR="00B90C0C" w:rsidRPr="00DA227A" w:rsidRDefault="00B90C0C" w:rsidP="00B65DBB">
      <w:pPr>
        <w:rPr>
          <w:rFonts w:cstheme="minorHAnsi"/>
        </w:rPr>
      </w:pPr>
    </w:p>
    <w:p w14:paraId="5667EA4B" w14:textId="77777777" w:rsidR="00B90C0C" w:rsidRPr="00DA227A" w:rsidRDefault="00B90C0C" w:rsidP="00A37A60">
      <w:pPr>
        <w:rPr>
          <w:rFonts w:cstheme="minorHAnsi"/>
        </w:rPr>
      </w:pPr>
    </w:p>
    <w:p w14:paraId="6B942778" w14:textId="77777777" w:rsidR="00B90C0C" w:rsidRPr="00DA227A" w:rsidRDefault="00B90C0C" w:rsidP="00B65DBB">
      <w:pPr>
        <w:rPr>
          <w:rFonts w:cstheme="minorHAnsi"/>
        </w:rPr>
      </w:pPr>
    </w:p>
    <w:p w14:paraId="2DBB19D6" w14:textId="77777777" w:rsidR="00B90C0C" w:rsidRDefault="00B90C0C" w:rsidP="00B65DBB">
      <w:pPr>
        <w:rPr>
          <w:rFonts w:cstheme="minorHAnsi"/>
        </w:rPr>
      </w:pPr>
    </w:p>
    <w:p w14:paraId="7DDAE84D" w14:textId="77777777" w:rsidR="00567FE2" w:rsidRDefault="00567FE2" w:rsidP="00B65DBB">
      <w:pPr>
        <w:rPr>
          <w:rFonts w:cstheme="minorHAnsi"/>
        </w:rPr>
      </w:pPr>
    </w:p>
    <w:p w14:paraId="520ECFB4" w14:textId="77777777" w:rsidR="00567FE2" w:rsidRPr="00DB3348" w:rsidRDefault="0039660E" w:rsidP="00DB3348">
      <w:pPr>
        <w:jc w:val="center"/>
        <w:rPr>
          <w:rFonts w:cstheme="minorHAnsi"/>
          <w:b/>
        </w:rPr>
      </w:pPr>
      <w:r>
        <w:rPr>
          <w:rFonts w:cstheme="minorHAnsi"/>
          <w:b/>
        </w:rPr>
        <w:t xml:space="preserve">Σεπτέμβριος </w:t>
      </w:r>
      <w:r w:rsidR="00DB3348" w:rsidRPr="00DB3348">
        <w:rPr>
          <w:rFonts w:cstheme="minorHAnsi"/>
          <w:b/>
        </w:rPr>
        <w:t>2023</w:t>
      </w:r>
    </w:p>
    <w:p w14:paraId="1D42FE71" w14:textId="77777777" w:rsidR="00567FE2" w:rsidRPr="00DB3348" w:rsidRDefault="008004F8" w:rsidP="00567FE2">
      <w:pPr>
        <w:rPr>
          <w:rFonts w:cstheme="minorHAnsi"/>
        </w:rPr>
      </w:pPr>
      <w:r w:rsidRPr="00DB3348">
        <w:rPr>
          <w:rFonts w:cstheme="minorHAnsi"/>
        </w:rPr>
        <w:t xml:space="preserve"> </w:t>
      </w:r>
    </w:p>
    <w:p w14:paraId="2E27E48F" w14:textId="77777777" w:rsidR="00567FE2" w:rsidRPr="00567FE2" w:rsidRDefault="00567FE2" w:rsidP="00567FE2">
      <w:pPr>
        <w:rPr>
          <w:rFonts w:cstheme="minorHAnsi"/>
        </w:rPr>
      </w:pPr>
    </w:p>
    <w:p w14:paraId="4B77FB92" w14:textId="77777777" w:rsidR="00567FE2" w:rsidRPr="00567FE2" w:rsidRDefault="00567FE2" w:rsidP="00567FE2">
      <w:pPr>
        <w:rPr>
          <w:rFonts w:cstheme="minorHAnsi"/>
        </w:rPr>
      </w:pPr>
    </w:p>
    <w:p w14:paraId="54FADDAA" w14:textId="77777777" w:rsidR="00FE3B8A" w:rsidRDefault="00376C76" w:rsidP="002D6645">
      <w:pPr>
        <w:rPr>
          <w:rFonts w:cstheme="minorHAnsi"/>
        </w:rPr>
      </w:pPr>
      <w:r>
        <w:rPr>
          <w:rFonts w:cstheme="minorHAnsi"/>
        </w:rPr>
        <w:br w:type="page"/>
      </w:r>
    </w:p>
    <w:p w14:paraId="3716A37E" w14:textId="77777777" w:rsidR="00FE3B8A" w:rsidRPr="004F092E" w:rsidRDefault="00FE3B8A" w:rsidP="00FE3B8A">
      <w:pPr>
        <w:rPr>
          <w:b/>
        </w:rPr>
      </w:pPr>
      <w:bookmarkStart w:id="0" w:name="_Toc498602997"/>
      <w:r w:rsidRPr="004F092E">
        <w:rPr>
          <w:b/>
        </w:rPr>
        <w:lastRenderedPageBreak/>
        <w:t>Εισαγωγικό Σημείωμα</w:t>
      </w:r>
      <w:bookmarkEnd w:id="0"/>
    </w:p>
    <w:p w14:paraId="7A8ADF5A" w14:textId="77777777" w:rsidR="005A300D" w:rsidRDefault="005A300D" w:rsidP="00FE3B8A">
      <w:pPr>
        <w:tabs>
          <w:tab w:val="left" w:pos="9356"/>
        </w:tabs>
        <w:spacing w:after="180" w:line="288" w:lineRule="auto"/>
        <w:jc w:val="both"/>
        <w:rPr>
          <w:rFonts w:cstheme="minorHAnsi"/>
        </w:rPr>
      </w:pPr>
    </w:p>
    <w:p w14:paraId="3CA783F2"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 xml:space="preserve">Το παρόν κείμενο αποτελεί υπόδειγμα δομής και περιεχομένου της </w:t>
      </w:r>
      <w:r w:rsidR="00727C5F">
        <w:rPr>
          <w:rFonts w:cstheme="minorHAnsi"/>
        </w:rPr>
        <w:t>Π</w:t>
      </w:r>
      <w:r w:rsidRPr="00620E85">
        <w:rPr>
          <w:rFonts w:cstheme="minorHAnsi"/>
        </w:rPr>
        <w:t xml:space="preserve">ρότασης του Ιδρύματος Ανώτατης </w:t>
      </w:r>
      <w:r w:rsidR="00781E78">
        <w:rPr>
          <w:rFonts w:cstheme="minorHAnsi"/>
        </w:rPr>
        <w:t xml:space="preserve">Εκπαίδευσης για την </w:t>
      </w:r>
      <w:r w:rsidR="00BF6C51">
        <w:rPr>
          <w:rFonts w:cstheme="minorHAnsi"/>
        </w:rPr>
        <w:t xml:space="preserve">Ακαδημαϊκή </w:t>
      </w:r>
      <w:r w:rsidR="00781E78">
        <w:rPr>
          <w:rFonts w:cstheme="minorHAnsi"/>
        </w:rPr>
        <w:t>Πιστοποίηση</w:t>
      </w:r>
      <w:r w:rsidR="00EC19CD">
        <w:rPr>
          <w:rFonts w:cstheme="minorHAnsi"/>
        </w:rPr>
        <w:t xml:space="preserve"> </w:t>
      </w:r>
      <w:r w:rsidR="00EC19CD" w:rsidRPr="008C4C39">
        <w:rPr>
          <w:rFonts w:cstheme="minorHAnsi"/>
          <w:noProof/>
        </w:rPr>
        <w:t xml:space="preserve">ενός Προγράμματος </w:t>
      </w:r>
      <w:r w:rsidR="00EC19CD">
        <w:rPr>
          <w:rFonts w:cstheme="minorHAnsi"/>
          <w:noProof/>
        </w:rPr>
        <w:t>Διδακτορικών</w:t>
      </w:r>
      <w:r w:rsidR="00EC19CD" w:rsidRPr="008C4C39">
        <w:rPr>
          <w:rFonts w:cstheme="minorHAnsi"/>
          <w:noProof/>
        </w:rPr>
        <w:t xml:space="preserve"> Σπουδών σε λειτουργία</w:t>
      </w:r>
      <w:r w:rsidR="00EC19CD">
        <w:rPr>
          <w:rFonts w:cstheme="minorHAnsi"/>
          <w:noProof/>
        </w:rPr>
        <w:t xml:space="preserve">. </w:t>
      </w:r>
      <w:r w:rsidRPr="00620E85">
        <w:rPr>
          <w:rFonts w:cstheme="minorHAnsi"/>
        </w:rPr>
        <w:t xml:space="preserve">Η διάρθρωσή του αντιστοιχεί στις βασικές αρχές του «Προτύπου </w:t>
      </w:r>
      <w:r w:rsidR="00C31883">
        <w:rPr>
          <w:rFonts w:cstheme="minorHAnsi"/>
        </w:rPr>
        <w:t xml:space="preserve">Ποιότητας </w:t>
      </w:r>
      <w:r w:rsidRPr="00620E85">
        <w:rPr>
          <w:rFonts w:cstheme="minorHAnsi"/>
        </w:rPr>
        <w:t xml:space="preserve">για την Πιστοποίηση </w:t>
      </w:r>
      <w:r w:rsidR="00EC19CD">
        <w:rPr>
          <w:rFonts w:cstheme="minorHAnsi"/>
        </w:rPr>
        <w:t>των Προγραμμάτων Διδακτορικών Σπουδών</w:t>
      </w:r>
      <w:r w:rsidRPr="00620E85">
        <w:rPr>
          <w:rFonts w:cstheme="minorHAnsi"/>
        </w:rPr>
        <w:t>»</w:t>
      </w:r>
      <w:r w:rsidR="00C31883">
        <w:rPr>
          <w:rFonts w:cstheme="minorHAnsi"/>
        </w:rPr>
        <w:t xml:space="preserve"> που εκδόθηκε από την ΕΘΑΑΕ το Σεπτέμβριο 2023</w:t>
      </w:r>
      <w:r w:rsidR="00781E78">
        <w:rPr>
          <w:rFonts w:cstheme="minorHAnsi"/>
        </w:rPr>
        <w:t xml:space="preserve"> και</w:t>
      </w:r>
      <w:r>
        <w:rPr>
          <w:rFonts w:cstheme="minorHAnsi"/>
        </w:rPr>
        <w:t xml:space="preserve"> </w:t>
      </w:r>
      <w:r w:rsidRPr="00620E85">
        <w:rPr>
          <w:rFonts w:cstheme="minorHAnsi"/>
        </w:rPr>
        <w:t>εναρμονίζεται με τις Αρχές και Κατευθυντήριες Οδηγίες για τη Διασφάλιση Ποιότητας στον Ευρωπαϊκό Χώρο Ανώτατης Εκπαίδευσης (</w:t>
      </w:r>
      <w:r w:rsidRPr="00620E85">
        <w:rPr>
          <w:rFonts w:cstheme="minorHAnsi"/>
          <w:lang w:val="en-US"/>
        </w:rPr>
        <w:t>ESG</w:t>
      </w:r>
      <w:r w:rsidRPr="00620E85">
        <w:rPr>
          <w:rFonts w:cstheme="minorHAnsi"/>
        </w:rPr>
        <w:t>).</w:t>
      </w:r>
    </w:p>
    <w:p w14:paraId="017DA552" w14:textId="77777777" w:rsidR="00FE3B8A" w:rsidRPr="00620E85" w:rsidRDefault="00FE3B8A" w:rsidP="00FE3B8A">
      <w:pPr>
        <w:tabs>
          <w:tab w:val="left" w:pos="9356"/>
        </w:tabs>
        <w:spacing w:after="180" w:line="288" w:lineRule="auto"/>
        <w:jc w:val="both"/>
        <w:rPr>
          <w:rFonts w:cstheme="minorHAnsi"/>
        </w:rPr>
      </w:pPr>
      <w:r w:rsidRPr="00620E85">
        <w:rPr>
          <w:rFonts w:cstheme="minorHAnsi"/>
        </w:rPr>
        <w:t>Η χρήση του Υποδείγματος είναι απαραίτητη για τη σύνταξη της Πρότασης</w:t>
      </w:r>
      <w:r w:rsidR="00EC19CD">
        <w:rPr>
          <w:rFonts w:cstheme="minorHAnsi"/>
        </w:rPr>
        <w:t xml:space="preserve"> Ακαδημαϊκής</w:t>
      </w:r>
      <w:r w:rsidRPr="00620E85">
        <w:rPr>
          <w:rFonts w:cstheme="minorHAnsi"/>
        </w:rPr>
        <w:t xml:space="preserve"> Πιστοποίησης </w:t>
      </w:r>
      <w:r w:rsidR="00EC19CD">
        <w:rPr>
          <w:rFonts w:cstheme="minorHAnsi"/>
        </w:rPr>
        <w:t>ενός Προγράμματος Διδακτορικών Σπουδών</w:t>
      </w:r>
      <w:r w:rsidR="00C31883">
        <w:rPr>
          <w:rFonts w:cstheme="minorHAnsi"/>
        </w:rPr>
        <w:t xml:space="preserve"> από το Ίδρυμα</w:t>
      </w:r>
      <w:r w:rsidRPr="00620E85">
        <w:rPr>
          <w:rFonts w:cstheme="minorHAnsi"/>
        </w:rPr>
        <w:t xml:space="preserve">. </w:t>
      </w:r>
      <w:r w:rsidR="00C31883">
        <w:rPr>
          <w:rFonts w:cstheme="minorHAnsi"/>
          <w:noProof/>
        </w:rPr>
        <w:t>Σε κάθε απαίτηση του παρόντο</w:t>
      </w:r>
      <w:r w:rsidR="00BC5D74">
        <w:rPr>
          <w:rFonts w:cstheme="minorHAnsi"/>
          <w:noProof/>
        </w:rPr>
        <w:t xml:space="preserve">ς, περιλαμβάνεται, εκτός από την αναλυτική </w:t>
      </w:r>
      <w:r w:rsidR="00C31883">
        <w:rPr>
          <w:rFonts w:cstheme="minorHAnsi"/>
          <w:noProof/>
        </w:rPr>
        <w:t xml:space="preserve">περιγραφή της, και η </w:t>
      </w:r>
      <w:r w:rsidR="00BC5D74">
        <w:rPr>
          <w:rFonts w:cstheme="minorHAnsi"/>
          <w:noProof/>
        </w:rPr>
        <w:t>σχετική</w:t>
      </w:r>
      <w:r w:rsidR="003804C6" w:rsidRPr="003804C6">
        <w:rPr>
          <w:rFonts w:cstheme="minorHAnsi"/>
          <w:noProof/>
        </w:rPr>
        <w:t xml:space="preserve"> </w:t>
      </w:r>
      <w:r w:rsidR="00C31883">
        <w:rPr>
          <w:rFonts w:cstheme="minorHAnsi"/>
          <w:noProof/>
        </w:rPr>
        <w:t>τεκμηρίωση</w:t>
      </w:r>
      <w:r w:rsidR="00E9521E">
        <w:rPr>
          <w:rFonts w:cstheme="minorHAnsi"/>
          <w:noProof/>
        </w:rPr>
        <w:t>.</w:t>
      </w:r>
      <w:r w:rsidRPr="00620E85">
        <w:rPr>
          <w:rFonts w:cstheme="minorHAnsi"/>
        </w:rPr>
        <w:t xml:space="preserve"> Η Πρόταση πρέπει να συνταχθεί με σαφήνεια </w:t>
      </w:r>
      <w:r w:rsidR="00E9521E">
        <w:rPr>
          <w:rFonts w:cstheme="minorHAnsi"/>
        </w:rPr>
        <w:t xml:space="preserve">και αντικειμενικότητα, χωρίς επαναλήψεις, </w:t>
      </w:r>
      <w:r w:rsidRPr="00620E85">
        <w:rPr>
          <w:rFonts w:cstheme="minorHAnsi"/>
        </w:rPr>
        <w:t>και να αποτελεί ένα αυτοτελές κείμενο, συνολικής έκτασης έως σαράντα (40) σελίδων. Εφόσον γίνεται αναφορά σε άρθρα ή διατάξεις των κανονιστικών κειμένων (Οργανισμός Ιδρύματος, Εγχειρίδιο Ποιότητας, Εσωτερικός Κανονισμός Λειτουργίας του Ιδρύματος κ.λπ.), είναι απαραίτητη η επισύναψή τους στο παρόν κείμενο.</w:t>
      </w:r>
    </w:p>
    <w:p w14:paraId="4C3BFC6D" w14:textId="77777777" w:rsidR="00FE3B8A" w:rsidRPr="00620E85" w:rsidRDefault="00FE3B8A" w:rsidP="00FE3B8A">
      <w:pPr>
        <w:tabs>
          <w:tab w:val="left" w:pos="9356"/>
        </w:tabs>
        <w:spacing w:after="120" w:line="288" w:lineRule="auto"/>
        <w:jc w:val="both"/>
        <w:rPr>
          <w:rFonts w:cstheme="minorHAnsi"/>
        </w:rPr>
      </w:pPr>
      <w:r w:rsidRPr="00620E85">
        <w:rPr>
          <w:rFonts w:cstheme="minorHAnsi"/>
        </w:rPr>
        <w:t xml:space="preserve">Η </w:t>
      </w:r>
      <w:r>
        <w:rPr>
          <w:rFonts w:cstheme="minorHAnsi"/>
        </w:rPr>
        <w:t>ΕΘΑΑΕ</w:t>
      </w:r>
      <w:r w:rsidRPr="00620E85">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14:paraId="344FBFEF" w14:textId="77777777" w:rsidR="00FE3B8A" w:rsidRPr="00620E85" w:rsidRDefault="00FE3B8A" w:rsidP="00FE3B8A">
      <w:pPr>
        <w:tabs>
          <w:tab w:val="left" w:pos="9356"/>
        </w:tabs>
        <w:spacing w:after="120" w:line="288" w:lineRule="auto"/>
        <w:jc w:val="both"/>
        <w:rPr>
          <w:rFonts w:cstheme="minorHAnsi"/>
        </w:rPr>
      </w:pPr>
    </w:p>
    <w:p w14:paraId="72830D10" w14:textId="77777777" w:rsidR="00FE3B8A" w:rsidRPr="00620E85" w:rsidRDefault="00C31883" w:rsidP="00FE3B8A">
      <w:pPr>
        <w:tabs>
          <w:tab w:val="left" w:pos="9356"/>
        </w:tabs>
        <w:spacing w:after="120" w:line="288" w:lineRule="auto"/>
        <w:jc w:val="both"/>
        <w:rPr>
          <w:rFonts w:cstheme="minorHAnsi"/>
          <w:i/>
        </w:rPr>
      </w:pPr>
      <w:r>
        <w:rPr>
          <w:rFonts w:cstheme="minorHAnsi"/>
          <w:i/>
        </w:rPr>
        <w:t>Σεπτέμβριος</w:t>
      </w:r>
      <w:r w:rsidR="00FE3B8A">
        <w:rPr>
          <w:rFonts w:cstheme="minorHAnsi"/>
          <w:i/>
        </w:rPr>
        <w:t xml:space="preserve"> 202</w:t>
      </w:r>
      <w:r w:rsidR="00066A0A">
        <w:rPr>
          <w:rFonts w:cstheme="minorHAnsi"/>
          <w:i/>
        </w:rPr>
        <w:t>3</w:t>
      </w:r>
    </w:p>
    <w:p w14:paraId="28990577" w14:textId="77777777" w:rsidR="00FE3B8A" w:rsidRDefault="00FE3B8A">
      <w:pPr>
        <w:rPr>
          <w:rFonts w:cstheme="minorHAnsi"/>
        </w:rPr>
      </w:pPr>
    </w:p>
    <w:p w14:paraId="11737A61" w14:textId="77777777" w:rsidR="000001D7" w:rsidRDefault="000001D7" w:rsidP="002D6645">
      <w:pPr>
        <w:rPr>
          <w:rFonts w:cstheme="minorHAnsi"/>
        </w:rPr>
      </w:pPr>
    </w:p>
    <w:p w14:paraId="162A8E0B" w14:textId="77777777" w:rsidR="000001D7" w:rsidRDefault="000001D7" w:rsidP="002D6645">
      <w:pPr>
        <w:rPr>
          <w:rFonts w:cstheme="minorHAnsi"/>
        </w:rPr>
      </w:pPr>
    </w:p>
    <w:p w14:paraId="7997F550" w14:textId="77777777" w:rsidR="000001D7" w:rsidRDefault="000001D7" w:rsidP="002D6645">
      <w:pPr>
        <w:rPr>
          <w:rFonts w:cstheme="minorHAnsi"/>
        </w:rPr>
      </w:pPr>
    </w:p>
    <w:p w14:paraId="55AAFC8A" w14:textId="77777777" w:rsidR="000001D7" w:rsidRDefault="000001D7" w:rsidP="002D6645">
      <w:pPr>
        <w:rPr>
          <w:rFonts w:cstheme="minorHAnsi"/>
        </w:rPr>
      </w:pPr>
    </w:p>
    <w:p w14:paraId="1BA72B5A" w14:textId="77777777" w:rsidR="000001D7" w:rsidRDefault="000001D7" w:rsidP="002D6645">
      <w:pPr>
        <w:rPr>
          <w:rFonts w:cstheme="minorHAnsi"/>
        </w:rPr>
      </w:pPr>
    </w:p>
    <w:p w14:paraId="7736E0C7" w14:textId="77777777" w:rsidR="009203B1" w:rsidRDefault="009203B1" w:rsidP="002D6645">
      <w:pPr>
        <w:rPr>
          <w:rFonts w:cstheme="minorHAnsi"/>
        </w:rPr>
        <w:sectPr w:rsidR="009203B1" w:rsidSect="00EC77E5">
          <w:footerReference w:type="even" r:id="rId10"/>
          <w:footerReference w:type="first" r:id="rId11"/>
          <w:pgSz w:w="11900" w:h="16840" w:code="9"/>
          <w:pgMar w:top="1192" w:right="1418" w:bottom="1560" w:left="1418" w:header="1136" w:footer="332" w:gutter="0"/>
          <w:cols w:space="708"/>
          <w:titlePg/>
          <w:docGrid w:linePitch="360"/>
        </w:sectPr>
      </w:pPr>
    </w:p>
    <w:p w14:paraId="0F5A1E45" w14:textId="77777777" w:rsidR="000001D7" w:rsidRDefault="000001D7" w:rsidP="002D6645">
      <w:pPr>
        <w:rPr>
          <w:rFonts w:cstheme="minorHAnsi"/>
        </w:rPr>
      </w:pPr>
    </w:p>
    <w:p w14:paraId="0F47E6CE" w14:textId="77777777" w:rsidR="00066A0A" w:rsidRDefault="00066A0A" w:rsidP="002D6645">
      <w:pPr>
        <w:rPr>
          <w:rFonts w:cstheme="minorHAnsi"/>
        </w:rPr>
      </w:pPr>
    </w:p>
    <w:p w14:paraId="546E26FB" w14:textId="77777777" w:rsidR="00066A0A" w:rsidRDefault="00066A0A" w:rsidP="002D6645">
      <w:pPr>
        <w:rPr>
          <w:rFonts w:cstheme="minorHAnsi"/>
        </w:rPr>
      </w:pPr>
    </w:p>
    <w:p w14:paraId="20DA433A" w14:textId="77777777" w:rsidR="00066A0A" w:rsidRDefault="00066A0A" w:rsidP="002D6645">
      <w:pPr>
        <w:rPr>
          <w:rFonts w:cstheme="minorHAnsi"/>
        </w:rPr>
      </w:pPr>
    </w:p>
    <w:p w14:paraId="7051CBF4" w14:textId="77777777" w:rsidR="00066A0A" w:rsidRDefault="00066A0A" w:rsidP="002D6645">
      <w:pPr>
        <w:rPr>
          <w:rFonts w:cstheme="minorHAnsi"/>
        </w:rPr>
      </w:pPr>
    </w:p>
    <w:p w14:paraId="0D0A3F36" w14:textId="77777777" w:rsidR="00066A0A" w:rsidRDefault="00066A0A" w:rsidP="002D6645">
      <w:pPr>
        <w:rPr>
          <w:rFonts w:cstheme="minorHAnsi"/>
        </w:rPr>
      </w:pPr>
    </w:p>
    <w:p w14:paraId="5D27BFED" w14:textId="77777777" w:rsidR="00066A0A" w:rsidRDefault="00066A0A" w:rsidP="002D6645">
      <w:pPr>
        <w:rPr>
          <w:rFonts w:cstheme="minorHAnsi"/>
        </w:rPr>
      </w:pPr>
    </w:p>
    <w:p w14:paraId="58FAC19C" w14:textId="77777777" w:rsidR="00066A0A" w:rsidRDefault="00066A0A" w:rsidP="002D6645">
      <w:pPr>
        <w:rPr>
          <w:rFonts w:cstheme="minorHAnsi"/>
        </w:rPr>
      </w:pPr>
    </w:p>
    <w:p w14:paraId="26E267B2" w14:textId="77777777" w:rsidR="00066A0A" w:rsidRDefault="00066A0A" w:rsidP="002D6645">
      <w:pPr>
        <w:rPr>
          <w:rFonts w:cstheme="minorHAnsi"/>
        </w:rPr>
      </w:pPr>
    </w:p>
    <w:p w14:paraId="56B0F254" w14:textId="77777777" w:rsidR="00066A0A" w:rsidRDefault="00066A0A" w:rsidP="002D6645">
      <w:pPr>
        <w:rPr>
          <w:rFonts w:cstheme="minorHAnsi"/>
        </w:rPr>
      </w:pPr>
    </w:p>
    <w:p w14:paraId="5D4D521C" w14:textId="77777777" w:rsidR="00066A0A" w:rsidRDefault="00066A0A" w:rsidP="002D6645">
      <w:pPr>
        <w:rPr>
          <w:rFonts w:cstheme="minorHAnsi"/>
        </w:rPr>
      </w:pPr>
    </w:p>
    <w:p w14:paraId="7A53F4F4" w14:textId="77777777" w:rsidR="00066A0A" w:rsidRDefault="00066A0A" w:rsidP="002D6645">
      <w:pPr>
        <w:rPr>
          <w:rFonts w:cstheme="minorHAnsi"/>
        </w:rPr>
      </w:pPr>
    </w:p>
    <w:p w14:paraId="01E92D5B" w14:textId="77777777" w:rsidR="00066A0A" w:rsidRDefault="00066A0A" w:rsidP="002D6645">
      <w:pPr>
        <w:rPr>
          <w:rFonts w:cstheme="minorHAnsi"/>
        </w:rPr>
      </w:pPr>
    </w:p>
    <w:p w14:paraId="697DA125" w14:textId="77777777" w:rsidR="00066A0A" w:rsidRDefault="00066A0A" w:rsidP="002D6645">
      <w:pPr>
        <w:rPr>
          <w:rFonts w:cstheme="minorHAnsi"/>
        </w:rPr>
      </w:pPr>
    </w:p>
    <w:p w14:paraId="139C0547"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p>
    <w:p w14:paraId="6383306F"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sidRPr="008C4C39">
        <w:rPr>
          <w:rFonts w:eastAsia="Times New Roman" w:cstheme="minorHAnsi"/>
          <w:b/>
          <w:bCs/>
          <w:noProof/>
        </w:rPr>
        <w:t xml:space="preserve">Πρόταση </w:t>
      </w:r>
      <w:r w:rsidR="00196F49">
        <w:rPr>
          <w:rFonts w:eastAsia="Times New Roman" w:cstheme="minorHAnsi"/>
          <w:b/>
          <w:bCs/>
          <w:noProof/>
        </w:rPr>
        <w:t>Ακαδημαϊκής</w:t>
      </w:r>
      <w:r w:rsidR="00D77B5A">
        <w:rPr>
          <w:rFonts w:eastAsia="Times New Roman" w:cstheme="minorHAnsi"/>
          <w:b/>
          <w:bCs/>
          <w:noProof/>
        </w:rPr>
        <w:t xml:space="preserve"> </w:t>
      </w:r>
      <w:r w:rsidRPr="008C4C39">
        <w:rPr>
          <w:rFonts w:eastAsia="Times New Roman" w:cstheme="minorHAnsi"/>
          <w:b/>
          <w:bCs/>
          <w:noProof/>
        </w:rPr>
        <w:t>Πιστοποίησης</w:t>
      </w:r>
    </w:p>
    <w:p w14:paraId="3AE602A4" w14:textId="77777777" w:rsidR="000001D7" w:rsidRPr="008C4C3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jc w:val="center"/>
        <w:outlineLvl w:val="3"/>
        <w:rPr>
          <w:rFonts w:eastAsia="Times New Roman" w:cstheme="minorHAnsi"/>
          <w:b/>
          <w:bCs/>
          <w:noProof/>
        </w:rPr>
      </w:pPr>
      <w:r>
        <w:rPr>
          <w:rFonts w:eastAsia="Times New Roman" w:cstheme="minorHAnsi"/>
          <w:b/>
          <w:bCs/>
          <w:noProof/>
        </w:rPr>
        <w:t>Προγράμματος Διδακτορικών Σπουδών (ΠΔΣ)</w:t>
      </w:r>
    </w:p>
    <w:p w14:paraId="25003222" w14:textId="77777777" w:rsidR="00726DE4" w:rsidRDefault="00726DE4"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
          <w:bCs/>
          <w:noProof/>
        </w:rPr>
      </w:pPr>
    </w:p>
    <w:p w14:paraId="1390130D" w14:textId="77777777" w:rsidR="000001D7"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Ίδρυμα</w:t>
      </w:r>
      <w:r w:rsidRPr="008C4C39">
        <w:rPr>
          <w:rFonts w:eastAsia="Times New Roman" w:cstheme="minorHAnsi"/>
          <w:bCs/>
          <w:noProof/>
        </w:rPr>
        <w:t>: …………………………….………………………………………………….….</w:t>
      </w:r>
    </w:p>
    <w:p w14:paraId="1937A541"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Τμήμα</w:t>
      </w:r>
      <w:r w:rsidRPr="008C4C39">
        <w:rPr>
          <w:rFonts w:eastAsia="Times New Roman" w:cstheme="minorHAnsi"/>
          <w:bCs/>
          <w:noProof/>
        </w:rPr>
        <w:t>: …………………………….………………………………………………….….</w:t>
      </w:r>
    </w:p>
    <w:p w14:paraId="06CB65B0" w14:textId="77777777" w:rsidR="00196F49" w:rsidRDefault="00196F49"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Pr>
          <w:rFonts w:eastAsia="Times New Roman" w:cstheme="minorHAnsi"/>
          <w:b/>
          <w:bCs/>
          <w:noProof/>
        </w:rPr>
        <w:t>Τίτλος ΠΔΣ</w:t>
      </w:r>
      <w:r w:rsidRPr="008C4C39">
        <w:rPr>
          <w:rFonts w:eastAsia="Times New Roman" w:cstheme="minorHAnsi"/>
          <w:bCs/>
          <w:noProof/>
        </w:rPr>
        <w:t>: …………………………….………………………………………………….….</w:t>
      </w:r>
    </w:p>
    <w:p w14:paraId="4408D7D2" w14:textId="77777777" w:rsidR="000001D7" w:rsidRPr="008C4C39" w:rsidRDefault="000001D7" w:rsidP="000001D7">
      <w:pPr>
        <w:keepNext/>
        <w:keepLines/>
        <w:pBdr>
          <w:top w:val="single" w:sz="4" w:space="1" w:color="auto"/>
          <w:left w:val="single" w:sz="4" w:space="4" w:color="auto"/>
          <w:bottom w:val="single" w:sz="4" w:space="18" w:color="auto"/>
          <w:right w:val="single" w:sz="4" w:space="1" w:color="auto"/>
        </w:pBdr>
        <w:tabs>
          <w:tab w:val="left" w:pos="9356"/>
        </w:tabs>
        <w:spacing w:before="40" w:line="360" w:lineRule="auto"/>
        <w:outlineLvl w:val="3"/>
        <w:rPr>
          <w:rFonts w:eastAsia="Times New Roman" w:cstheme="minorHAnsi"/>
          <w:bCs/>
          <w:noProof/>
        </w:rPr>
      </w:pPr>
      <w:r w:rsidRPr="008C4C39">
        <w:rPr>
          <w:rFonts w:eastAsia="Times New Roman" w:cstheme="minorHAnsi"/>
          <w:b/>
          <w:bCs/>
          <w:noProof/>
        </w:rPr>
        <w:t>Ημερομηνία υποβολής</w:t>
      </w:r>
      <w:r w:rsidRPr="008C4C39">
        <w:rPr>
          <w:rFonts w:eastAsia="Times New Roman" w:cstheme="minorHAnsi"/>
          <w:bCs/>
          <w:noProof/>
        </w:rPr>
        <w:t>: ………………….………………………………………….……………..</w:t>
      </w:r>
    </w:p>
    <w:p w14:paraId="224C66B0" w14:textId="77777777" w:rsidR="0021315F" w:rsidRDefault="0021315F" w:rsidP="002D6645">
      <w:pPr>
        <w:rPr>
          <w:rFonts w:cstheme="minorHAnsi"/>
        </w:rPr>
      </w:pPr>
    </w:p>
    <w:p w14:paraId="680C27C8" w14:textId="77777777" w:rsidR="0021315F" w:rsidRPr="0021315F" w:rsidRDefault="0021315F" w:rsidP="0021315F">
      <w:pPr>
        <w:rPr>
          <w:rFonts w:cstheme="minorHAnsi"/>
        </w:rPr>
      </w:pPr>
    </w:p>
    <w:p w14:paraId="355F0630" w14:textId="77777777" w:rsidR="0021315F" w:rsidRPr="0021315F" w:rsidRDefault="0021315F" w:rsidP="0021315F">
      <w:pPr>
        <w:rPr>
          <w:rFonts w:cstheme="minorHAnsi"/>
        </w:rPr>
      </w:pPr>
    </w:p>
    <w:p w14:paraId="197D33CF" w14:textId="77777777" w:rsidR="0021315F" w:rsidRPr="0021315F" w:rsidRDefault="0021315F" w:rsidP="0021315F">
      <w:pPr>
        <w:rPr>
          <w:rFonts w:cstheme="minorHAnsi"/>
        </w:rPr>
      </w:pPr>
    </w:p>
    <w:p w14:paraId="733953E7" w14:textId="77777777" w:rsidR="0021315F" w:rsidRPr="0021315F" w:rsidRDefault="0021315F" w:rsidP="0021315F">
      <w:pPr>
        <w:rPr>
          <w:rFonts w:cstheme="minorHAnsi"/>
        </w:rPr>
      </w:pPr>
    </w:p>
    <w:p w14:paraId="7954BE99" w14:textId="77777777" w:rsidR="0021315F" w:rsidRPr="0021315F" w:rsidRDefault="0021315F" w:rsidP="0021315F">
      <w:pPr>
        <w:rPr>
          <w:rFonts w:cstheme="minorHAnsi"/>
        </w:rPr>
      </w:pPr>
    </w:p>
    <w:p w14:paraId="4320F32F" w14:textId="77777777" w:rsidR="0021315F" w:rsidRPr="0021315F" w:rsidRDefault="0021315F" w:rsidP="0021315F">
      <w:pPr>
        <w:rPr>
          <w:rFonts w:cstheme="minorHAnsi"/>
        </w:rPr>
      </w:pPr>
    </w:p>
    <w:p w14:paraId="621E38CD" w14:textId="77777777" w:rsidR="0021315F" w:rsidRPr="0021315F" w:rsidRDefault="0021315F" w:rsidP="0021315F">
      <w:pPr>
        <w:rPr>
          <w:rFonts w:cstheme="minorHAnsi"/>
        </w:rPr>
      </w:pPr>
    </w:p>
    <w:p w14:paraId="3C75EB70" w14:textId="77777777" w:rsidR="0021315F" w:rsidRPr="0021315F" w:rsidRDefault="0021315F" w:rsidP="0021315F">
      <w:pPr>
        <w:rPr>
          <w:rFonts w:cstheme="minorHAnsi"/>
        </w:rPr>
      </w:pPr>
    </w:p>
    <w:p w14:paraId="12D5EECC" w14:textId="77777777" w:rsidR="0021315F" w:rsidRPr="0021315F" w:rsidRDefault="0021315F" w:rsidP="0021315F">
      <w:pPr>
        <w:rPr>
          <w:rFonts w:cstheme="minorHAnsi"/>
        </w:rPr>
      </w:pPr>
    </w:p>
    <w:p w14:paraId="3436CA0C" w14:textId="77777777" w:rsidR="0021315F" w:rsidRPr="0021315F" w:rsidRDefault="0021315F" w:rsidP="0021315F">
      <w:pPr>
        <w:rPr>
          <w:rFonts w:cstheme="minorHAnsi"/>
        </w:rPr>
      </w:pPr>
    </w:p>
    <w:p w14:paraId="34F20235" w14:textId="77777777" w:rsidR="0021315F" w:rsidRPr="0021315F" w:rsidRDefault="0021315F" w:rsidP="0021315F">
      <w:pPr>
        <w:rPr>
          <w:rFonts w:cstheme="minorHAnsi"/>
        </w:rPr>
      </w:pPr>
    </w:p>
    <w:p w14:paraId="434B688C" w14:textId="77777777" w:rsidR="00200326" w:rsidRDefault="00200326">
      <w:pPr>
        <w:rPr>
          <w:rFonts w:cstheme="minorHAnsi"/>
        </w:rPr>
      </w:pPr>
      <w:r>
        <w:rPr>
          <w:rFonts w:cstheme="minorHAnsi"/>
        </w:rPr>
        <w:br w:type="page"/>
      </w:r>
    </w:p>
    <w:p w14:paraId="3EF68CAA" w14:textId="77777777" w:rsidR="0021315F" w:rsidRPr="0021315F" w:rsidRDefault="0021315F" w:rsidP="0021315F">
      <w:pPr>
        <w:rPr>
          <w:rFonts w:cstheme="minorHAnsi"/>
        </w:rPr>
      </w:pPr>
    </w:p>
    <w:p w14:paraId="137F2C61" w14:textId="77777777" w:rsidR="0021315F" w:rsidRPr="0021315F" w:rsidRDefault="0021315F" w:rsidP="0021315F">
      <w:pPr>
        <w:rPr>
          <w:rFonts w:cstheme="minorHAnsi"/>
        </w:rPr>
      </w:pPr>
    </w:p>
    <w:p w14:paraId="10D637D1" w14:textId="77777777" w:rsidR="0021315F" w:rsidRPr="0021315F" w:rsidRDefault="0021315F" w:rsidP="0021315F">
      <w:pPr>
        <w:rPr>
          <w:rFonts w:cstheme="minorHAnsi"/>
        </w:rPr>
      </w:pPr>
    </w:p>
    <w:p w14:paraId="052817B5" w14:textId="77777777" w:rsidR="0021315F" w:rsidRDefault="0021315F" w:rsidP="0021315F">
      <w:pPr>
        <w:rPr>
          <w:rFonts w:cstheme="minorHAnsi"/>
        </w:rPr>
      </w:pPr>
    </w:p>
    <w:p w14:paraId="6E2238DE" w14:textId="77777777" w:rsidR="006B531E" w:rsidRDefault="006B531E" w:rsidP="00AF1CE0">
      <w:pPr>
        <w:tabs>
          <w:tab w:val="left" w:pos="3900"/>
        </w:tabs>
        <w:rPr>
          <w:rFonts w:cstheme="minorHAnsi"/>
        </w:rPr>
      </w:pPr>
    </w:p>
    <w:p w14:paraId="31EC8CBE" w14:textId="77777777" w:rsidR="003E073B" w:rsidRDefault="003E073B">
      <w:pPr>
        <w:rPr>
          <w:rFonts w:cstheme="minorHAnsi"/>
        </w:rPr>
      </w:pPr>
      <w:r>
        <w:rPr>
          <w:rFonts w:cstheme="minorHAnsi"/>
        </w:rPr>
        <w:t xml:space="preserve">ΠΕΡΙΕΧΟΜΕΝΑ </w:t>
      </w:r>
    </w:p>
    <w:p w14:paraId="5AE024AC" w14:textId="77777777" w:rsidR="003E073B" w:rsidRDefault="003E073B">
      <w:pPr>
        <w:rPr>
          <w:rFonts w:cstheme="minorHAnsi"/>
        </w:rPr>
      </w:pPr>
    </w:p>
    <w:sdt>
      <w:sdtPr>
        <w:rPr>
          <w:rFonts w:asciiTheme="minorHAnsi" w:eastAsiaTheme="minorHAnsi" w:hAnsiTheme="minorHAnsi" w:cstheme="minorBidi"/>
          <w:color w:val="auto"/>
          <w:sz w:val="24"/>
          <w:szCs w:val="24"/>
          <w:lang w:eastAsia="en-US"/>
        </w:rPr>
        <w:id w:val="-2052143812"/>
        <w:docPartObj>
          <w:docPartGallery w:val="Table of Contents"/>
          <w:docPartUnique/>
        </w:docPartObj>
      </w:sdtPr>
      <w:sdtEndPr>
        <w:rPr>
          <w:b/>
          <w:bCs/>
        </w:rPr>
      </w:sdtEndPr>
      <w:sdtContent>
        <w:p w14:paraId="63EBB78B" w14:textId="77777777" w:rsidR="00667F5B" w:rsidRDefault="00667F5B">
          <w:pPr>
            <w:pStyle w:val="TOCHeading"/>
          </w:pPr>
          <w:r>
            <w:t xml:space="preserve"> </w:t>
          </w:r>
        </w:p>
        <w:p w14:paraId="64ED4043" w14:textId="77777777" w:rsidR="00BE2C8E" w:rsidRPr="00BE2C8E" w:rsidRDefault="00667F5B" w:rsidP="004F38E6">
          <w:pPr>
            <w:pStyle w:val="TOC1"/>
            <w:rPr>
              <w:rStyle w:val="Hyperlink"/>
              <w:noProof/>
            </w:rPr>
          </w:pPr>
          <w:r w:rsidRPr="00BE2C8E">
            <w:rPr>
              <w:bCs/>
            </w:rPr>
            <w:fldChar w:fldCharType="begin"/>
          </w:r>
          <w:r w:rsidRPr="00BE2C8E">
            <w:rPr>
              <w:bCs/>
            </w:rPr>
            <w:instrText xml:space="preserve"> TOC \o "1-3" \h \z \u </w:instrText>
          </w:r>
          <w:r w:rsidRPr="00BE2C8E">
            <w:rPr>
              <w:bCs/>
            </w:rPr>
            <w:fldChar w:fldCharType="separate"/>
          </w:r>
          <w:hyperlink w:anchor="_Toc142386239" w:history="1">
            <w:r w:rsidR="00BE2C8E" w:rsidRPr="00BE2C8E">
              <w:rPr>
                <w:rStyle w:val="Hyperlink"/>
                <w:rFonts w:cstheme="minorHAnsi"/>
                <w:noProof/>
              </w:rPr>
              <w:t>1.</w:t>
            </w:r>
            <w:r w:rsidR="00BE2C8E" w:rsidRPr="00BE2C8E">
              <w:rPr>
                <w:rStyle w:val="Hyperlink"/>
                <w:noProof/>
              </w:rPr>
              <w:tab/>
            </w:r>
            <w:r w:rsidR="00BE2C8E" w:rsidRPr="00BE2C8E">
              <w:rPr>
                <w:rStyle w:val="Hyperlink"/>
                <w:rFonts w:cstheme="minorHAnsi"/>
                <w:noProof/>
              </w:rPr>
              <w:t>Στρατηγική, Πολιτική και Στοχοθεσία ποιότητας για τα Προγράμματα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_Toc142386239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5</w:t>
            </w:r>
            <w:r w:rsidR="00BE2C8E" w:rsidRPr="00BE2C8E">
              <w:rPr>
                <w:rStyle w:val="Hyperlink"/>
                <w:noProof/>
                <w:webHidden/>
              </w:rPr>
              <w:fldChar w:fldCharType="end"/>
            </w:r>
          </w:hyperlink>
        </w:p>
        <w:p w14:paraId="7CC73256" w14:textId="77777777" w:rsidR="00BE2C8E" w:rsidRPr="00BE2C8E" w:rsidRDefault="00E60016" w:rsidP="004F38E6">
          <w:pPr>
            <w:pStyle w:val="TOC1"/>
            <w:rPr>
              <w:rStyle w:val="Hyperlink"/>
              <w:noProof/>
            </w:rPr>
          </w:pPr>
          <w:hyperlink w:anchor="_Toc142386240" w:history="1">
            <w:r w:rsidR="00BE2C8E" w:rsidRPr="00BE2C8E">
              <w:rPr>
                <w:rStyle w:val="Hyperlink"/>
                <w:rFonts w:cstheme="minorHAnsi"/>
                <w:noProof/>
              </w:rPr>
              <w:t>2.</w:t>
            </w:r>
            <w:r w:rsidR="00BE2C8E" w:rsidRPr="00BE2C8E">
              <w:rPr>
                <w:rStyle w:val="Hyperlink"/>
                <w:noProof/>
              </w:rPr>
              <w:tab/>
            </w:r>
            <w:r w:rsidR="00BE2C8E" w:rsidRPr="00BE2C8E">
              <w:rPr>
                <w:rStyle w:val="Hyperlink"/>
                <w:rFonts w:cstheme="minorHAnsi"/>
                <w:noProof/>
              </w:rPr>
              <w:t>Σχεδιασμός και έγκριση των Προγραμμάτων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_Toc142386240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7</w:t>
            </w:r>
            <w:r w:rsidR="00BE2C8E" w:rsidRPr="00BE2C8E">
              <w:rPr>
                <w:rStyle w:val="Hyperlink"/>
                <w:noProof/>
                <w:webHidden/>
              </w:rPr>
              <w:fldChar w:fldCharType="end"/>
            </w:r>
          </w:hyperlink>
        </w:p>
        <w:p w14:paraId="00E311F2" w14:textId="77777777" w:rsidR="00BE2C8E" w:rsidRPr="00BE2C8E" w:rsidRDefault="00E60016" w:rsidP="004F38E6">
          <w:pPr>
            <w:pStyle w:val="TOC1"/>
            <w:rPr>
              <w:rStyle w:val="Hyperlink"/>
              <w:noProof/>
            </w:rPr>
          </w:pPr>
          <w:hyperlink w:anchor="_Toc142386241" w:history="1">
            <w:r w:rsidR="00BE2C8E" w:rsidRPr="00BE2C8E">
              <w:rPr>
                <w:rStyle w:val="Hyperlink"/>
                <w:rFonts w:cstheme="minorHAnsi"/>
                <w:noProof/>
              </w:rPr>
              <w:t>3.</w:t>
            </w:r>
            <w:r w:rsidR="00BE2C8E" w:rsidRPr="00BE2C8E">
              <w:rPr>
                <w:rStyle w:val="Hyperlink"/>
                <w:noProof/>
              </w:rPr>
              <w:tab/>
            </w:r>
            <w:r w:rsidR="00BE2C8E" w:rsidRPr="00BE2C8E">
              <w:rPr>
                <w:rStyle w:val="Hyperlink"/>
                <w:rFonts w:cstheme="minorHAnsi"/>
                <w:noProof/>
              </w:rPr>
              <w:t xml:space="preserve">Κανονισμοί για την επιλογή των υποψηφίων διδακτόρων, </w:t>
            </w:r>
            <w:r w:rsidR="007634B2">
              <w:rPr>
                <w:rStyle w:val="Hyperlink"/>
                <w:rFonts w:cstheme="minorHAnsi"/>
                <w:noProof/>
              </w:rPr>
              <w:t>την εφαρμογή ίσων ευκαιριών, τη</w:t>
            </w:r>
            <w:r w:rsidR="00BE2C8E" w:rsidRPr="00BE2C8E">
              <w:rPr>
                <w:rStyle w:val="Hyperlink"/>
                <w:rFonts w:cstheme="minorHAnsi"/>
                <w:noProof/>
              </w:rPr>
              <w:t xml:space="preserve"> συμπεριληπτικότητα, την εποπτεία της διατριβής, την ολοκλήρωση και την αναγνώριση των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_Toc142386241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9</w:t>
            </w:r>
            <w:r w:rsidR="00BE2C8E" w:rsidRPr="00BE2C8E">
              <w:rPr>
                <w:rStyle w:val="Hyperlink"/>
                <w:noProof/>
                <w:webHidden/>
              </w:rPr>
              <w:fldChar w:fldCharType="end"/>
            </w:r>
          </w:hyperlink>
        </w:p>
        <w:p w14:paraId="22341867" w14:textId="77777777" w:rsidR="00BE2C8E" w:rsidRPr="00BE2C8E" w:rsidRDefault="00E60016" w:rsidP="004F38E6">
          <w:pPr>
            <w:pStyle w:val="TOC1"/>
            <w:rPr>
              <w:rStyle w:val="Hyperlink"/>
              <w:noProof/>
            </w:rPr>
          </w:pPr>
          <w:hyperlink w:anchor="_Toc142386242" w:history="1">
            <w:r w:rsidR="00BE2C8E" w:rsidRPr="00BE2C8E">
              <w:rPr>
                <w:rStyle w:val="Hyperlink"/>
                <w:rFonts w:cstheme="minorHAnsi"/>
                <w:noProof/>
              </w:rPr>
              <w:t>4.</w:t>
            </w:r>
            <w:r w:rsidR="00BE2C8E" w:rsidRPr="00BE2C8E">
              <w:rPr>
                <w:rStyle w:val="Hyperlink"/>
                <w:noProof/>
              </w:rPr>
              <w:tab/>
            </w:r>
            <w:r w:rsidR="00BE2C8E" w:rsidRPr="00BE2C8E">
              <w:rPr>
                <w:rStyle w:val="Hyperlink"/>
                <w:rFonts w:cstheme="minorHAnsi"/>
                <w:noProof/>
              </w:rPr>
              <w:t>Μαθησιακοί πόροι και υποστήριξη των διδακτορικών φοιτητών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_Toc142386242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11</w:t>
            </w:r>
            <w:r w:rsidR="00BE2C8E" w:rsidRPr="00BE2C8E">
              <w:rPr>
                <w:rStyle w:val="Hyperlink"/>
                <w:noProof/>
                <w:webHidden/>
              </w:rPr>
              <w:fldChar w:fldCharType="end"/>
            </w:r>
          </w:hyperlink>
        </w:p>
        <w:p w14:paraId="4398F6B2" w14:textId="77777777" w:rsidR="00BE2C8E" w:rsidRPr="00BE2C8E" w:rsidRDefault="00E60016" w:rsidP="004F38E6">
          <w:pPr>
            <w:pStyle w:val="TOC1"/>
            <w:rPr>
              <w:rStyle w:val="Hyperlink"/>
              <w:noProof/>
            </w:rPr>
          </w:pPr>
          <w:hyperlink w:anchor="_Toc142386243" w:history="1">
            <w:r w:rsidR="00BE2C8E" w:rsidRPr="00BE2C8E">
              <w:rPr>
                <w:rStyle w:val="Hyperlink"/>
                <w:rFonts w:cstheme="minorHAnsi"/>
                <w:noProof/>
              </w:rPr>
              <w:t>5.</w:t>
            </w:r>
            <w:r w:rsidR="00BE2C8E" w:rsidRPr="00BE2C8E">
              <w:rPr>
                <w:rStyle w:val="Hyperlink"/>
                <w:noProof/>
              </w:rPr>
              <w:tab/>
            </w:r>
            <w:r w:rsidR="00BE2C8E" w:rsidRPr="00BE2C8E">
              <w:rPr>
                <w:rStyle w:val="Hyperlink"/>
                <w:rFonts w:cstheme="minorHAnsi"/>
                <w:noProof/>
              </w:rPr>
              <w:t>Διαχείριση πληροφοριών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_Toc142386243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12</w:t>
            </w:r>
            <w:r w:rsidR="00BE2C8E" w:rsidRPr="00BE2C8E">
              <w:rPr>
                <w:rStyle w:val="Hyperlink"/>
                <w:noProof/>
                <w:webHidden/>
              </w:rPr>
              <w:fldChar w:fldCharType="end"/>
            </w:r>
          </w:hyperlink>
        </w:p>
        <w:p w14:paraId="5E3CD062" w14:textId="77777777" w:rsidR="00BE2C8E" w:rsidRPr="00BE2C8E" w:rsidRDefault="00E60016" w:rsidP="004F38E6">
          <w:pPr>
            <w:pStyle w:val="TOC1"/>
            <w:rPr>
              <w:rStyle w:val="Hyperlink"/>
              <w:noProof/>
            </w:rPr>
          </w:pPr>
          <w:hyperlink w:anchor="_Toc142386244" w:history="1">
            <w:r w:rsidR="00BE2C8E" w:rsidRPr="00BE2C8E">
              <w:rPr>
                <w:rStyle w:val="Hyperlink"/>
                <w:rFonts w:cstheme="minorHAnsi"/>
                <w:noProof/>
              </w:rPr>
              <w:t xml:space="preserve">6. </w:t>
            </w:r>
            <w:r w:rsidR="00781E78">
              <w:rPr>
                <w:rStyle w:val="Hyperlink"/>
                <w:rFonts w:cstheme="minorHAnsi"/>
                <w:noProof/>
              </w:rPr>
              <w:t xml:space="preserve">   </w:t>
            </w:r>
            <w:r w:rsidR="00BE2C8E" w:rsidRPr="00BE2C8E">
              <w:rPr>
                <w:rStyle w:val="Hyperlink"/>
                <w:rFonts w:cstheme="minorHAnsi"/>
                <w:noProof/>
              </w:rPr>
              <w:t>Δημόσια πληροφόρηση για τα Προγράμματα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_Toc142386244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13</w:t>
            </w:r>
            <w:r w:rsidR="00BE2C8E" w:rsidRPr="00BE2C8E">
              <w:rPr>
                <w:rStyle w:val="Hyperlink"/>
                <w:noProof/>
                <w:webHidden/>
              </w:rPr>
              <w:fldChar w:fldCharType="end"/>
            </w:r>
          </w:hyperlink>
        </w:p>
        <w:p w14:paraId="5E132D4C" w14:textId="77777777" w:rsidR="00BE2C8E" w:rsidRPr="00BE2C8E" w:rsidRDefault="00E60016" w:rsidP="004F38E6">
          <w:pPr>
            <w:pStyle w:val="TOC1"/>
            <w:rPr>
              <w:rStyle w:val="Hyperlink"/>
              <w:noProof/>
            </w:rPr>
          </w:pPr>
          <w:hyperlink w:anchor="_Toc142386245" w:history="1">
            <w:r w:rsidR="00BE2C8E" w:rsidRPr="00BE2C8E">
              <w:rPr>
                <w:rStyle w:val="Hyperlink"/>
                <w:rFonts w:cstheme="minorHAnsi"/>
                <w:noProof/>
              </w:rPr>
              <w:t>7.</w:t>
            </w:r>
            <w:r w:rsidR="00BE2C8E" w:rsidRPr="00BE2C8E">
              <w:rPr>
                <w:rStyle w:val="Hyperlink"/>
                <w:noProof/>
              </w:rPr>
              <w:tab/>
            </w:r>
            <w:r w:rsidR="00BE2C8E" w:rsidRPr="00BE2C8E">
              <w:rPr>
                <w:rStyle w:val="Hyperlink"/>
                <w:rFonts w:cstheme="minorHAnsi"/>
                <w:noProof/>
              </w:rPr>
              <w:t>Συνεχής παρακολούθηση και περιοδική εσωτερική αξιολόγηση των Προγραμμάτων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_Toc142386245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14</w:t>
            </w:r>
            <w:r w:rsidR="00BE2C8E" w:rsidRPr="00BE2C8E">
              <w:rPr>
                <w:rStyle w:val="Hyperlink"/>
                <w:noProof/>
                <w:webHidden/>
              </w:rPr>
              <w:fldChar w:fldCharType="end"/>
            </w:r>
          </w:hyperlink>
        </w:p>
        <w:p w14:paraId="20BD9374" w14:textId="77777777" w:rsidR="00BE2C8E" w:rsidRPr="00BE2C8E" w:rsidRDefault="00E60016" w:rsidP="004F38E6">
          <w:pPr>
            <w:pStyle w:val="TOC1"/>
            <w:rPr>
              <w:rFonts w:eastAsiaTheme="minorEastAsia"/>
              <w:noProof/>
              <w:sz w:val="22"/>
              <w:szCs w:val="22"/>
              <w:lang w:eastAsia="el-GR"/>
            </w:rPr>
          </w:pPr>
          <w:hyperlink w:anchor="_Toc142386246" w:history="1">
            <w:r w:rsidR="00BE2C8E" w:rsidRPr="00BE2C8E">
              <w:rPr>
                <w:rStyle w:val="Hyperlink"/>
                <w:rFonts w:cstheme="minorHAnsi"/>
                <w:noProof/>
              </w:rPr>
              <w:t>8.</w:t>
            </w:r>
            <w:r w:rsidR="00BE2C8E" w:rsidRPr="00BE2C8E">
              <w:rPr>
                <w:rStyle w:val="Hyperlink"/>
                <w:noProof/>
              </w:rPr>
              <w:tab/>
            </w:r>
            <w:r w:rsidR="00BE2C8E" w:rsidRPr="00BE2C8E">
              <w:rPr>
                <w:rStyle w:val="Hyperlink"/>
                <w:rFonts w:cstheme="minorHAnsi"/>
                <w:noProof/>
              </w:rPr>
              <w:t>Περιοδική εξωτερική αξιολόγηση και πιστοποίηση των Προγραμμάτων Διδακτορικών Σπουδών</w:t>
            </w:r>
            <w:r w:rsidR="00BE2C8E" w:rsidRPr="00BE2C8E">
              <w:rPr>
                <w:rStyle w:val="Hyperlink"/>
                <w:noProof/>
                <w:webHidden/>
              </w:rPr>
              <w:tab/>
            </w:r>
            <w:r w:rsidR="00BE2C8E" w:rsidRPr="00BE2C8E">
              <w:rPr>
                <w:rStyle w:val="Hyperlink"/>
                <w:noProof/>
                <w:webHidden/>
              </w:rPr>
              <w:fldChar w:fldCharType="begin"/>
            </w:r>
            <w:r w:rsidR="00BE2C8E" w:rsidRPr="00BE2C8E">
              <w:rPr>
                <w:rStyle w:val="Hyperlink"/>
                <w:noProof/>
                <w:webHidden/>
              </w:rPr>
              <w:instrText xml:space="preserve"> PAGEREF _Toc142386246 \h </w:instrText>
            </w:r>
            <w:r w:rsidR="00BE2C8E" w:rsidRPr="00BE2C8E">
              <w:rPr>
                <w:rStyle w:val="Hyperlink"/>
                <w:noProof/>
                <w:webHidden/>
              </w:rPr>
            </w:r>
            <w:r w:rsidR="00BE2C8E" w:rsidRPr="00BE2C8E">
              <w:rPr>
                <w:rStyle w:val="Hyperlink"/>
                <w:noProof/>
                <w:webHidden/>
              </w:rPr>
              <w:fldChar w:fldCharType="separate"/>
            </w:r>
            <w:r w:rsidR="003B0E0D">
              <w:rPr>
                <w:rStyle w:val="Hyperlink"/>
                <w:noProof/>
                <w:webHidden/>
              </w:rPr>
              <w:t>15</w:t>
            </w:r>
            <w:r w:rsidR="00BE2C8E" w:rsidRPr="00BE2C8E">
              <w:rPr>
                <w:rStyle w:val="Hyperlink"/>
                <w:noProof/>
                <w:webHidden/>
              </w:rPr>
              <w:fldChar w:fldCharType="end"/>
            </w:r>
          </w:hyperlink>
        </w:p>
        <w:p w14:paraId="23CE90A0" w14:textId="77777777" w:rsidR="00667F5B" w:rsidRDefault="00667F5B">
          <w:r w:rsidRPr="00BE2C8E">
            <w:rPr>
              <w:rFonts w:cstheme="minorHAnsi"/>
              <w:bCs/>
            </w:rPr>
            <w:fldChar w:fldCharType="end"/>
          </w:r>
        </w:p>
      </w:sdtContent>
    </w:sdt>
    <w:p w14:paraId="468F088A" w14:textId="77777777" w:rsidR="006B531E" w:rsidRDefault="006B531E">
      <w:pPr>
        <w:rPr>
          <w:rFonts w:cstheme="minorHAnsi"/>
        </w:rPr>
      </w:pPr>
      <w:r>
        <w:rPr>
          <w:rFonts w:cstheme="minorHAnsi"/>
        </w:rPr>
        <w:br w:type="page"/>
      </w:r>
    </w:p>
    <w:p w14:paraId="78477BBC" w14:textId="77777777" w:rsidR="00BB450B" w:rsidRPr="00B00E2B" w:rsidRDefault="00BB450B" w:rsidP="00B00E2B">
      <w:pPr>
        <w:pStyle w:val="10"/>
        <w:numPr>
          <w:ilvl w:val="0"/>
          <w:numId w:val="12"/>
        </w:numPr>
        <w:tabs>
          <w:tab w:val="clear" w:pos="9356"/>
        </w:tabs>
        <w:ind w:left="426" w:hanging="426"/>
        <w:jc w:val="left"/>
        <w:rPr>
          <w:rFonts w:ascii="Calibri" w:hAnsi="Calibri"/>
          <w:noProof/>
          <w:sz w:val="26"/>
          <w:szCs w:val="26"/>
        </w:rPr>
      </w:pPr>
      <w:bookmarkStart w:id="1" w:name="_Toc140760177"/>
      <w:bookmarkStart w:id="2" w:name="_Toc142386239"/>
      <w:r w:rsidRPr="00BB450B">
        <w:rPr>
          <w:rFonts w:eastAsia="SimSun"/>
          <w:sz w:val="26"/>
          <w:szCs w:val="26"/>
        </w:rPr>
        <w:lastRenderedPageBreak/>
        <w:t>Στρατηγική</w:t>
      </w:r>
      <w:r w:rsidR="00B00E2B">
        <w:rPr>
          <w:rFonts w:eastAsia="SimSun"/>
          <w:sz w:val="26"/>
          <w:szCs w:val="26"/>
        </w:rPr>
        <w:t>,</w:t>
      </w:r>
      <w:r w:rsidRPr="00BB450B">
        <w:rPr>
          <w:rFonts w:eastAsia="SimSun"/>
          <w:sz w:val="26"/>
          <w:szCs w:val="26"/>
        </w:rPr>
        <w:t xml:space="preserve"> </w:t>
      </w:r>
      <w:bookmarkEnd w:id="1"/>
      <w:r w:rsidR="00B00E2B" w:rsidRPr="00B00E2B">
        <w:rPr>
          <w:rFonts w:ascii="Calibri" w:hAnsi="Calibri"/>
          <w:noProof/>
          <w:sz w:val="26"/>
          <w:szCs w:val="26"/>
        </w:rPr>
        <w:t>Πολιτική και Στοχοθεσία ποιότητας για τα Προγράμματα Διδακτορικών Σπουδών</w:t>
      </w:r>
      <w:bookmarkEnd w:id="2"/>
    </w:p>
    <w:p w14:paraId="6962C0D3" w14:textId="77777777" w:rsidR="00B00E2B" w:rsidRPr="00B00E2B" w:rsidRDefault="00BB450B" w:rsidP="00E37A64">
      <w:pPr>
        <w:pStyle w:val="10"/>
        <w:spacing w:after="0"/>
        <w:outlineLvl w:val="9"/>
        <w:rPr>
          <w:sz w:val="26"/>
          <w:szCs w:val="26"/>
        </w:rPr>
      </w:pPr>
      <w:r w:rsidRPr="00B00E2B">
        <w:rPr>
          <w:rFonts w:ascii="Calibri" w:eastAsia="SimSun" w:hAnsi="Calibri"/>
          <w:sz w:val="26"/>
          <w:szCs w:val="26"/>
        </w:rPr>
        <w:t xml:space="preserve">Τα </w:t>
      </w:r>
      <w:r w:rsidR="00B00E2B" w:rsidRPr="00B00E2B">
        <w:rPr>
          <w:sz w:val="26"/>
          <w:szCs w:val="26"/>
        </w:rPr>
        <w:t xml:space="preserve">ΑΕΙ θα πρέπει να έχουν περιλάβει στην ερευνητική στρατηγική τους την ανάπτυξη, οργάνωση και εφαρμογή Προγραμμάτων Διδακτορικών Σπουδών (ΠΔΣ) είτε στα επιστημονικά πεδία των ακαδημαϊκών μονάδων είτε διεπιστημονικού ενδιαφέροντος ή και σε συνεργασία με άλλα Ιδρύματα. </w:t>
      </w:r>
    </w:p>
    <w:p w14:paraId="0C8C3D4A" w14:textId="77777777" w:rsidR="00B00E2B" w:rsidRPr="00B00E2B" w:rsidRDefault="00B00E2B" w:rsidP="00E37A64">
      <w:pPr>
        <w:pStyle w:val="10"/>
        <w:tabs>
          <w:tab w:val="clear" w:pos="9356"/>
        </w:tabs>
        <w:spacing w:before="0" w:line="240" w:lineRule="auto"/>
        <w:outlineLvl w:val="9"/>
        <w:rPr>
          <w:noProof/>
          <w:sz w:val="26"/>
          <w:szCs w:val="26"/>
        </w:rPr>
      </w:pPr>
      <w:r w:rsidRPr="00B00E2B">
        <w:rPr>
          <w:sz w:val="26"/>
          <w:szCs w:val="26"/>
        </w:rPr>
        <w:t xml:space="preserve">Οι ακαδημαϊκές μονάδες θα πρέπει να εφαρμόζουν μια πολιτική ποιότητας για τα ΠΔΣ, η οποία θα εξειδικεύεται με ετήσιους στόχους και θα προωθεί την ερευνητική στρατηγική του Ιδρύματος. </w:t>
      </w:r>
    </w:p>
    <w:tbl>
      <w:tblPr>
        <w:tblStyle w:val="1"/>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BB450B" w:rsidRPr="00BB450B" w14:paraId="507BFDD5" w14:textId="77777777" w:rsidTr="00D51755">
        <w:tc>
          <w:tcPr>
            <w:tcW w:w="9044" w:type="dxa"/>
          </w:tcPr>
          <w:p w14:paraId="7B18032A" w14:textId="77777777" w:rsidR="006B6863" w:rsidRPr="00D51755" w:rsidRDefault="00D51755" w:rsidP="00D51755">
            <w:pPr>
              <w:spacing w:before="240"/>
              <w:jc w:val="both"/>
              <w:rPr>
                <w:rFonts w:asciiTheme="majorHAnsi" w:hAnsiTheme="majorHAnsi" w:cstheme="majorHAnsi"/>
                <w:i/>
              </w:rPr>
            </w:pPr>
            <w:r w:rsidRPr="00D51755">
              <w:rPr>
                <w:rFonts w:asciiTheme="majorHAnsi" w:hAnsiTheme="majorHAnsi" w:cstheme="majorHAnsi"/>
                <w:i/>
              </w:rPr>
              <w:t xml:space="preserve">Η πολιτική ποιότητας θα πρέπει να αναπτύσσεται και να εξειδικεύεται (με τη συμμετοχή και εξωτερικών φορέων) στο ΠΔΣ της ακαδημαϊκής μονάδας. Η πολιτική αυτή θα πρέπει να δημοσιοποιείται και να εφαρμόζεται από όλα τα ενδιαφερόμενα μέρη. Η ακαδημαϊκή κουλτούρα προσανατολίζεται στην ποιότητα και επικεντρώνεται στη συνεχή βελτίωσή του ΠΔΣ. Η πολιτική διασφάλισης ποιότητας είναι πιο αποτελεσματική όταν αντικατοπτρίζει τη σχέση μεταξύ έρευνας και μάθησης, λαμβάνοντας υπόψη τόσο το εθνικό πλαίσιο όσο και τη στρατηγική προσέγγιση του Ιδρύματος. Μια τέτοια πολιτική υποστηρίζει: </w:t>
            </w:r>
          </w:p>
          <w:p w14:paraId="633E66CE" w14:textId="77777777" w:rsidR="00D51755" w:rsidRPr="00D51755" w:rsidRDefault="00D51755" w:rsidP="00D51755">
            <w:pPr>
              <w:pStyle w:val="ListParagraph"/>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οργάνωση του Εσωτερικού Συστήματος Διασφάλισης Ποιότητας (ΕΣΔΠ) και στο ε</w:t>
            </w:r>
            <w:r w:rsidR="007D2DED">
              <w:rPr>
                <w:rFonts w:asciiTheme="majorHAnsi" w:hAnsiTheme="majorHAnsi" w:cstheme="majorHAnsi"/>
                <w:i/>
                <w:lang w:val="el-GR"/>
              </w:rPr>
              <w:t>πίπεδο των διδακτορικών σπουδών</w:t>
            </w:r>
          </w:p>
          <w:p w14:paraId="6BFAD31C" w14:textId="77777777" w:rsidR="00D51755" w:rsidRPr="00D51755" w:rsidRDefault="00D51755" w:rsidP="00D51755">
            <w:pPr>
              <w:pStyle w:val="ListParagraph"/>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 συμμετοχή των τμημάτων, των σχολών, άλλων οργανωτικών</w:t>
            </w:r>
            <w:r w:rsidRPr="00D51755">
              <w:rPr>
                <w:rFonts w:asciiTheme="majorHAnsi" w:hAnsiTheme="majorHAnsi" w:cstheme="majorHAnsi"/>
                <w:i/>
                <w:color w:val="FF0000"/>
                <w:lang w:val="el-GR"/>
              </w:rPr>
              <w:t>-</w:t>
            </w:r>
            <w:r w:rsidRPr="00D51755">
              <w:rPr>
                <w:rFonts w:asciiTheme="majorHAnsi" w:hAnsiTheme="majorHAnsi" w:cstheme="majorHAnsi"/>
                <w:i/>
                <w:lang w:val="el-GR"/>
              </w:rPr>
              <w:t>επιστημονικών (π.χ. ερευνητικών κέντρων)</w:t>
            </w:r>
            <w:r w:rsidR="00781E78">
              <w:rPr>
                <w:rFonts w:asciiTheme="majorHAnsi" w:hAnsiTheme="majorHAnsi" w:cstheme="majorHAnsi"/>
                <w:i/>
                <w:lang w:val="el-GR"/>
              </w:rPr>
              <w:t xml:space="preserve"> μονάδων, της</w:t>
            </w:r>
            <w:r w:rsidRPr="00D51755">
              <w:rPr>
                <w:rFonts w:asciiTheme="majorHAnsi" w:hAnsiTheme="majorHAnsi" w:cstheme="majorHAnsi"/>
                <w:i/>
                <w:lang w:val="el-GR"/>
              </w:rPr>
              <w:t xml:space="preserve"> ηγεσίας, των </w:t>
            </w:r>
            <w:r w:rsidR="00781E78">
              <w:rPr>
                <w:rFonts w:asciiTheme="majorHAnsi" w:hAnsiTheme="majorHAnsi" w:cstheme="majorHAnsi"/>
                <w:i/>
                <w:lang w:val="el-GR"/>
              </w:rPr>
              <w:t>μελών</w:t>
            </w:r>
            <w:r w:rsidRPr="00D51755">
              <w:rPr>
                <w:rFonts w:asciiTheme="majorHAnsi" w:hAnsiTheme="majorHAnsi" w:cstheme="majorHAnsi"/>
                <w:i/>
                <w:lang w:val="el-GR"/>
              </w:rPr>
              <w:t xml:space="preserve"> του προσωπικού και </w:t>
            </w:r>
            <w:r w:rsidR="00781E78">
              <w:rPr>
                <w:rFonts w:asciiTheme="majorHAnsi" w:hAnsiTheme="majorHAnsi" w:cstheme="majorHAnsi"/>
                <w:i/>
                <w:lang w:val="el-GR"/>
              </w:rPr>
              <w:t>την ενθάρρυνση</w:t>
            </w:r>
            <w:r w:rsidRPr="00D51755">
              <w:rPr>
                <w:rFonts w:asciiTheme="majorHAnsi" w:hAnsiTheme="majorHAnsi" w:cstheme="majorHAnsi"/>
                <w:i/>
                <w:lang w:val="el-GR"/>
              </w:rPr>
              <w:t xml:space="preserve"> </w:t>
            </w:r>
            <w:r w:rsidR="00781E78">
              <w:rPr>
                <w:rFonts w:asciiTheme="majorHAnsi" w:hAnsiTheme="majorHAnsi" w:cstheme="majorHAnsi"/>
                <w:i/>
                <w:lang w:val="el-GR"/>
              </w:rPr>
              <w:t>των</w:t>
            </w:r>
            <w:r w:rsidRPr="00D51755">
              <w:rPr>
                <w:rFonts w:asciiTheme="majorHAnsi" w:hAnsiTheme="majorHAnsi" w:cstheme="majorHAnsi"/>
                <w:i/>
                <w:lang w:val="el-GR"/>
              </w:rPr>
              <w:t xml:space="preserve"> διδακτορικών φοιτητών να αναλαμβάνουν ρό</w:t>
            </w:r>
            <w:r w:rsidR="007D2DED">
              <w:rPr>
                <w:rFonts w:asciiTheme="majorHAnsi" w:hAnsiTheme="majorHAnsi" w:cstheme="majorHAnsi"/>
                <w:i/>
                <w:lang w:val="el-GR"/>
              </w:rPr>
              <w:t>λο στη διασφάλιση της ποιότητας</w:t>
            </w:r>
          </w:p>
          <w:p w14:paraId="1081D70E" w14:textId="77777777" w:rsidR="00D51755" w:rsidRPr="00D51755" w:rsidRDefault="00D51755" w:rsidP="00D51755">
            <w:pPr>
              <w:pStyle w:val="ListParagraph"/>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ακαδημαϊκή ακεραιότητα και ελευθερία, την επαγρύπνηση κατά της ακαδημαϊκής απάτης</w:t>
            </w:r>
          </w:p>
          <w:p w14:paraId="6023ED8E" w14:textId="77777777" w:rsidR="00D51755" w:rsidRPr="00D51755" w:rsidRDefault="00D51755" w:rsidP="00D51755">
            <w:pPr>
              <w:pStyle w:val="ListParagraph"/>
              <w:numPr>
                <w:ilvl w:val="0"/>
                <w:numId w:val="13"/>
              </w:numPr>
              <w:spacing w:line="259" w:lineRule="auto"/>
              <w:jc w:val="both"/>
              <w:rPr>
                <w:rFonts w:asciiTheme="majorHAnsi" w:hAnsiTheme="majorHAnsi" w:cstheme="majorHAnsi"/>
                <w:i/>
                <w:lang w:val="el-GR"/>
              </w:rPr>
            </w:pPr>
            <w:r w:rsidRPr="00D51755">
              <w:rPr>
                <w:rFonts w:asciiTheme="majorHAnsi" w:hAnsiTheme="majorHAnsi" w:cstheme="majorHAnsi"/>
                <w:i/>
                <w:lang w:val="el-GR"/>
              </w:rPr>
              <w:t>την πρόληψη και αντιμετώπιση κάθε είδους διάκρισης κατά των διδακτορικών φοιτητών, καθώς και γενικότερα κατά των μ</w:t>
            </w:r>
            <w:r w:rsidR="007D2DED">
              <w:rPr>
                <w:rFonts w:asciiTheme="majorHAnsi" w:hAnsiTheme="majorHAnsi" w:cstheme="majorHAnsi"/>
                <w:i/>
                <w:lang w:val="el-GR"/>
              </w:rPr>
              <w:t>ελών της ακαδημαϊκής κοινότητας</w:t>
            </w:r>
          </w:p>
          <w:p w14:paraId="5D5D46A3" w14:textId="77777777" w:rsidR="00D51755" w:rsidRPr="00D51755" w:rsidRDefault="00D51755" w:rsidP="00D51755">
            <w:pPr>
              <w:pStyle w:val="ListParagraph"/>
              <w:numPr>
                <w:ilvl w:val="0"/>
                <w:numId w:val="13"/>
              </w:numPr>
              <w:spacing w:line="259" w:lineRule="auto"/>
              <w:ind w:left="714" w:hanging="357"/>
              <w:jc w:val="both"/>
              <w:rPr>
                <w:rFonts w:asciiTheme="majorHAnsi" w:hAnsiTheme="majorHAnsi" w:cstheme="majorHAnsi"/>
                <w:i/>
                <w:lang w:val="el-GR"/>
              </w:rPr>
            </w:pPr>
            <w:r w:rsidRPr="00D51755">
              <w:rPr>
                <w:rFonts w:asciiTheme="majorHAnsi" w:hAnsiTheme="majorHAnsi" w:cstheme="majorHAnsi"/>
                <w:i/>
                <w:lang w:val="el-GR"/>
              </w:rPr>
              <w:t>τη συμμετοχή των εξωτερικών ενδιαφερομένων μερών, ειδικά φορέων στο χώρο της οικονομίας της γνώσης, ερευνητικών εταίρων, εργοδοτών του οικείου κλάδου, επαγγελματικών οργανώσεων κλπ.</w:t>
            </w:r>
          </w:p>
          <w:p w14:paraId="5E6BC430" w14:textId="77777777" w:rsidR="00D51755" w:rsidRDefault="00D51755" w:rsidP="00D51755">
            <w:pPr>
              <w:jc w:val="both"/>
              <w:rPr>
                <w:rFonts w:asciiTheme="majorHAnsi" w:hAnsiTheme="majorHAnsi" w:cstheme="majorHAnsi"/>
                <w:i/>
              </w:rPr>
            </w:pPr>
            <w:r w:rsidRPr="00D51755">
              <w:rPr>
                <w:rFonts w:asciiTheme="majorHAnsi" w:hAnsiTheme="majorHAnsi" w:cstheme="majorHAnsi"/>
                <w:i/>
              </w:rPr>
              <w:t xml:space="preserve">Η στοχοθεσία ποιότητας είναι απαραίτητο να περιλαμβάνει ειδικούς δείκτες ποιότητας για τη διδακτορική εκπαίδευση που υλοποιούν, κυρίως, την ερευνητική στρατηγική του Ιδρύματος. Για το λόγο αυτό, υπάρχει ισχυρή σύνδεση μεταξύ της αξιολόγησης της έρευνας του Ιδρύματος και της αξιολόγησης των διδακτορικών προγραμμάτων, καθώς και του ερευνητικού περιβάλλοντος που αποτελεί τη βάση της διδακτορικής εκπαίδευσης. </w:t>
            </w:r>
          </w:p>
          <w:p w14:paraId="675251A2" w14:textId="77777777" w:rsidR="006B6863" w:rsidRPr="00D51755" w:rsidRDefault="006B6863" w:rsidP="00D51755">
            <w:pPr>
              <w:jc w:val="both"/>
              <w:rPr>
                <w:rFonts w:asciiTheme="majorHAnsi" w:hAnsiTheme="majorHAnsi" w:cstheme="majorHAnsi"/>
                <w:i/>
              </w:rPr>
            </w:pPr>
          </w:p>
          <w:p w14:paraId="5C1298C7" w14:textId="77777777" w:rsidR="00BB450B" w:rsidRPr="00BB450B" w:rsidRDefault="00D51755" w:rsidP="00D51755">
            <w:pPr>
              <w:spacing w:after="360"/>
              <w:jc w:val="both"/>
              <w:rPr>
                <w:rFonts w:ascii="Calibri Light" w:hAnsi="Calibri Light" w:cs="Calibri Light"/>
                <w:iCs/>
                <w:color w:val="000000" w:themeColor="text1"/>
              </w:rPr>
            </w:pPr>
            <w:r w:rsidRPr="00D51755">
              <w:rPr>
                <w:rFonts w:asciiTheme="majorHAnsi" w:hAnsiTheme="majorHAnsi" w:cstheme="majorHAnsi"/>
                <w:i/>
              </w:rPr>
              <w:t>Για την αξιολόγηση της ποιότητας των ΠΔΣ, τα Ιδρύματα θα πρέπει να αναπτύξουν δείκτες για την ατομική πρόοδο του υποψηφίου διδάκτορα, το πλήθος των επιστημονικών δημοσιεύσεων, τη συμμετοχή σε συνέδρια και σε ερευνητικά προγράμματα, το ποσοστό έγκαιρης ολοκλήρωσης της διατριβής, τις αποκτώμενες δεξιότητες, την παρακολούθηση της σταδιοδρομίας και τη διάδοση των ερευνητικών αποτελεσμάτων, την επαγγελματική ανάπτυξη του ερευνητή κ.λπ.</w:t>
            </w:r>
            <w:r w:rsidR="00BB450B" w:rsidRPr="00BB450B">
              <w:rPr>
                <w:rFonts w:ascii="Calibri Light" w:hAnsi="Calibri Light" w:cs="Calibri Light"/>
                <w:iCs/>
                <w:color w:val="000000" w:themeColor="text1"/>
              </w:rPr>
              <w:t xml:space="preserve"> </w:t>
            </w:r>
          </w:p>
        </w:tc>
      </w:tr>
    </w:tbl>
    <w:p w14:paraId="3FC5B1AA" w14:textId="77777777" w:rsidR="00BB450B" w:rsidRPr="00BB450B" w:rsidRDefault="00BB450B" w:rsidP="00BB450B">
      <w:pPr>
        <w:spacing w:after="160" w:line="259" w:lineRule="auto"/>
        <w:rPr>
          <w:rFonts w:ascii="Calibri" w:eastAsia="SimSun" w:hAnsi="Calibri" w:cs="Calibri"/>
          <w:b/>
          <w:u w:val="single"/>
          <w:lang w:eastAsia="el-GR"/>
        </w:rPr>
      </w:pPr>
    </w:p>
    <w:p w14:paraId="1E3DA612" w14:textId="77777777" w:rsidR="006B6863" w:rsidRDefault="006B6863" w:rsidP="00BB450B">
      <w:pPr>
        <w:spacing w:after="160" w:line="259" w:lineRule="auto"/>
        <w:rPr>
          <w:rFonts w:ascii="Calibri" w:eastAsia="SimSun" w:hAnsi="Calibri" w:cs="Calibri"/>
          <w:b/>
          <w:sz w:val="22"/>
          <w:szCs w:val="22"/>
          <w:u w:val="single"/>
          <w:lang w:eastAsia="el-GR"/>
        </w:rPr>
      </w:pPr>
    </w:p>
    <w:p w14:paraId="3E18B5D0" w14:textId="77777777" w:rsidR="00BB450B" w:rsidRDefault="003B64EE" w:rsidP="00BB450B">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lastRenderedPageBreak/>
        <w:t xml:space="preserve"> </w:t>
      </w:r>
    </w:p>
    <w:p w14:paraId="5503CC05" w14:textId="77777777" w:rsidR="00E55898" w:rsidRDefault="007764B0" w:rsidP="002F79E1">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w:t>
      </w:r>
      <w:r w:rsidR="00E55898">
        <w:rPr>
          <w:rFonts w:eastAsia="SimSun" w:cs="Calibri"/>
          <w:b/>
          <w:sz w:val="22"/>
          <w:szCs w:val="22"/>
          <w:u w:val="single"/>
          <w:lang w:eastAsia="el-GR"/>
        </w:rPr>
        <w:t>Παραρτήματα</w:t>
      </w:r>
    </w:p>
    <w:p w14:paraId="0DB6C565" w14:textId="77777777" w:rsidR="002F79E1" w:rsidRDefault="002F79E1" w:rsidP="00FC0E79">
      <w:pPr>
        <w:spacing w:after="60" w:line="259" w:lineRule="auto"/>
        <w:ind w:left="426" w:hanging="426"/>
        <w:jc w:val="both"/>
        <w:rPr>
          <w:rFonts w:cstheme="minorHAnsi"/>
          <w:sz w:val="22"/>
          <w:szCs w:val="22"/>
        </w:rPr>
      </w:pPr>
    </w:p>
    <w:p w14:paraId="37BF648C"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Δ1.1 </w:t>
      </w:r>
      <w:r w:rsidR="00FC0E79" w:rsidRPr="00FC0E79">
        <w:rPr>
          <w:rFonts w:cstheme="minorHAnsi"/>
          <w:sz w:val="22"/>
          <w:szCs w:val="22"/>
        </w:rPr>
        <w:t xml:space="preserve">Ερευνητική Στρατηγική του Ιδρύματος </w:t>
      </w:r>
    </w:p>
    <w:p w14:paraId="448112D2" w14:textId="77777777" w:rsidR="00FC0E79" w:rsidRP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Δ1.2 </w:t>
      </w:r>
      <w:r w:rsidR="00FC0E79" w:rsidRPr="00FC0E79">
        <w:rPr>
          <w:rFonts w:cstheme="minorHAnsi"/>
          <w:sz w:val="22"/>
          <w:szCs w:val="22"/>
        </w:rPr>
        <w:t xml:space="preserve">Πολιτική ποιότητας της ακαδημαϊκής μονάδας για την ανάπτυξη και τη βελτίωση του ΠΔΣ </w:t>
      </w:r>
    </w:p>
    <w:p w14:paraId="26BBD277" w14:textId="77777777" w:rsidR="00FC0E79" w:rsidRDefault="001D71E0" w:rsidP="00FC0E79">
      <w:pPr>
        <w:spacing w:after="60" w:line="259" w:lineRule="auto"/>
        <w:ind w:left="426" w:hanging="426"/>
        <w:jc w:val="both"/>
        <w:rPr>
          <w:rFonts w:cstheme="minorHAnsi"/>
          <w:sz w:val="22"/>
          <w:szCs w:val="22"/>
        </w:rPr>
      </w:pPr>
      <w:r>
        <w:rPr>
          <w:rFonts w:cstheme="minorHAnsi"/>
          <w:sz w:val="22"/>
          <w:szCs w:val="22"/>
        </w:rPr>
        <w:t xml:space="preserve">Δ1.3 </w:t>
      </w:r>
      <w:r w:rsidR="00FC0E79" w:rsidRPr="00FC0E79">
        <w:rPr>
          <w:rFonts w:cstheme="minorHAnsi"/>
          <w:sz w:val="22"/>
          <w:szCs w:val="22"/>
        </w:rPr>
        <w:t>Στοχοθεσία Ποιότητας της ακαδημαϊκής μονάδας για το ΠΔΣ</w:t>
      </w:r>
    </w:p>
    <w:p w14:paraId="0E85E059" w14:textId="77777777" w:rsidR="00463A4D" w:rsidRDefault="00463A4D" w:rsidP="00463A4D">
      <w:pPr>
        <w:spacing w:after="60" w:line="259" w:lineRule="auto"/>
        <w:jc w:val="both"/>
        <w:rPr>
          <w:rFonts w:eastAsia="SimSun" w:cs="Calibri"/>
          <w:b/>
          <w:sz w:val="22"/>
          <w:szCs w:val="22"/>
          <w:u w:val="single"/>
          <w:lang w:eastAsia="el-GR"/>
        </w:rPr>
      </w:pPr>
      <w:r>
        <w:rPr>
          <w:rFonts w:cstheme="minorHAnsi"/>
          <w:sz w:val="22"/>
          <w:szCs w:val="22"/>
        </w:rPr>
        <w:t xml:space="preserve">Δ1.4 </w:t>
      </w:r>
      <w:r w:rsidRPr="007C1133">
        <w:rPr>
          <w:rFonts w:eastAsia="SimSun" w:cs="Calibri"/>
          <w:sz w:val="22"/>
          <w:szCs w:val="22"/>
          <w:lang w:eastAsia="el-GR"/>
        </w:rPr>
        <w:t>Στοιχεία διαβούλευσης με εξωτερικούς φορείς για την ερευνητική στρατηγική και την πολιτική ποιότητας του ΠΔΣ</w:t>
      </w:r>
    </w:p>
    <w:p w14:paraId="40FC63E4" w14:textId="77777777" w:rsidR="00463A4D" w:rsidRPr="00FC0E79" w:rsidRDefault="00463A4D" w:rsidP="00FC0E79">
      <w:pPr>
        <w:spacing w:after="60" w:line="259" w:lineRule="auto"/>
        <w:ind w:left="426" w:hanging="426"/>
        <w:jc w:val="both"/>
        <w:rPr>
          <w:rFonts w:cstheme="minorHAnsi"/>
          <w:sz w:val="22"/>
          <w:szCs w:val="22"/>
        </w:rPr>
      </w:pPr>
    </w:p>
    <w:p w14:paraId="2D90E617" w14:textId="77777777" w:rsidR="00FC0E79" w:rsidRPr="00E55898" w:rsidRDefault="00FC0E79" w:rsidP="00E55898">
      <w:pPr>
        <w:spacing w:after="60" w:line="259" w:lineRule="auto"/>
        <w:jc w:val="both"/>
        <w:rPr>
          <w:rFonts w:eastAsia="SimSun" w:cs="Calibri"/>
          <w:b/>
          <w:sz w:val="22"/>
          <w:szCs w:val="22"/>
          <w:u w:val="single"/>
          <w:lang w:eastAsia="el-GR"/>
        </w:rPr>
      </w:pPr>
    </w:p>
    <w:p w14:paraId="2AD7C60A" w14:textId="77777777" w:rsidR="004A077B" w:rsidRPr="007C1133" w:rsidRDefault="004A077B" w:rsidP="004A077B">
      <w:pPr>
        <w:pStyle w:val="ListParagraph"/>
        <w:spacing w:line="259" w:lineRule="auto"/>
        <w:rPr>
          <w:rFonts w:eastAsia="SimSun" w:cs="Calibri"/>
          <w:lang w:val="el-GR" w:eastAsia="el-GR"/>
        </w:rPr>
      </w:pPr>
    </w:p>
    <w:p w14:paraId="32D544A0" w14:textId="77777777" w:rsidR="004A077B" w:rsidRPr="006B6863" w:rsidRDefault="004A077B">
      <w:pPr>
        <w:rPr>
          <w:rFonts w:ascii="Calibri" w:eastAsia="SimSun" w:hAnsi="Calibri" w:cs="Calibri"/>
          <w:sz w:val="22"/>
          <w:szCs w:val="22"/>
          <w:lang w:eastAsia="el-GR"/>
        </w:rPr>
      </w:pPr>
      <w:r>
        <w:rPr>
          <w:rFonts w:eastAsia="SimSun" w:cs="Calibri"/>
          <w:lang w:eastAsia="el-GR"/>
        </w:rPr>
        <w:br w:type="page"/>
      </w:r>
    </w:p>
    <w:p w14:paraId="3AB6838B" w14:textId="77777777" w:rsidR="004A077B" w:rsidRPr="004A077B" w:rsidRDefault="004A077B" w:rsidP="004A077B">
      <w:pPr>
        <w:pStyle w:val="10"/>
        <w:numPr>
          <w:ilvl w:val="0"/>
          <w:numId w:val="12"/>
        </w:numPr>
        <w:tabs>
          <w:tab w:val="clear" w:pos="9356"/>
        </w:tabs>
        <w:ind w:left="426" w:hanging="426"/>
        <w:rPr>
          <w:rFonts w:ascii="Calibri" w:hAnsi="Calibri"/>
          <w:noProof/>
          <w:sz w:val="26"/>
          <w:szCs w:val="26"/>
        </w:rPr>
      </w:pPr>
      <w:bookmarkStart w:id="3" w:name="_Toc140842664"/>
      <w:bookmarkStart w:id="4" w:name="_Toc142386240"/>
      <w:bookmarkStart w:id="5" w:name="_Toc469405371"/>
      <w:r w:rsidRPr="004A077B">
        <w:rPr>
          <w:rFonts w:ascii="Calibri" w:hAnsi="Calibri"/>
          <w:sz w:val="26"/>
          <w:szCs w:val="26"/>
        </w:rPr>
        <w:lastRenderedPageBreak/>
        <w:t>Σχεδιασμός και έγκριση των Προγραμμάτων Διδακτορικών Σπουδών</w:t>
      </w:r>
      <w:bookmarkEnd w:id="3"/>
      <w:bookmarkEnd w:id="4"/>
    </w:p>
    <w:p w14:paraId="06E14809" w14:textId="77777777" w:rsidR="00AE3553" w:rsidRPr="00DC2100" w:rsidRDefault="00643DB3" w:rsidP="00AE3553">
      <w:pPr>
        <w:pStyle w:val="10"/>
        <w:tabs>
          <w:tab w:val="clear" w:pos="9356"/>
        </w:tabs>
        <w:outlineLvl w:val="9"/>
        <w:rPr>
          <w:sz w:val="26"/>
          <w:szCs w:val="26"/>
        </w:rPr>
      </w:pPr>
      <w:r w:rsidRPr="00DC2100">
        <w:rPr>
          <w:rFonts w:ascii="Calibri" w:eastAsia="SimSun" w:hAnsi="Calibri"/>
          <w:sz w:val="26"/>
          <w:szCs w:val="26"/>
        </w:rPr>
        <w:t xml:space="preserve">Τα </w:t>
      </w:r>
      <w:r w:rsidR="00AE3553" w:rsidRPr="00DC2100">
        <w:rPr>
          <w:bCs w:val="0"/>
          <w:sz w:val="26"/>
          <w:szCs w:val="26"/>
        </w:rPr>
        <w:t>Ιδρύματα θα πρέπει να διαθέτουν διαδικασίες για το σχεδιασμό και την έγκριση των Προγραμμάτων Διδακτορικών Σπουδών. Τα προγράμματα θα πρέπει να σχεδιάζονται έτσι ώστε να ανταποκρίνονται στους στόχους που έχουν τεθεί, συμπεριλαμβανομένων των επιδιωκόμενων μαθησιακών αποτελεσμάτων. Τα ακαδημαϊκά προσόντα που προκύπτουν πρέπει να προσδιορίζονται σαφώς, και να αναφέρονται στο επίπεδο 8 του Εθνικού και του Ευρωπαϊκού Πλαισίου Προσόντων.</w:t>
      </w:r>
    </w:p>
    <w:tbl>
      <w:tblPr>
        <w:tblStyle w:val="2"/>
        <w:tblW w:w="9488" w:type="dxa"/>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488"/>
      </w:tblGrid>
      <w:tr w:rsidR="00643DB3" w:rsidRPr="00643DB3" w14:paraId="2A67B7C2" w14:textId="77777777" w:rsidTr="00643DB3">
        <w:tc>
          <w:tcPr>
            <w:tcW w:w="9488" w:type="dxa"/>
          </w:tcPr>
          <w:bookmarkEnd w:id="5"/>
          <w:p w14:paraId="0B954143" w14:textId="77777777" w:rsidR="00DC2100" w:rsidRPr="00DC2100" w:rsidRDefault="00DC2100" w:rsidP="00DC2100">
            <w:pPr>
              <w:spacing w:before="240" w:after="160" w:line="259" w:lineRule="auto"/>
              <w:jc w:val="both"/>
              <w:rPr>
                <w:rFonts w:asciiTheme="majorHAnsi" w:eastAsia="Malgun Gothic" w:hAnsiTheme="majorHAnsi" w:cstheme="majorHAnsi"/>
                <w:b/>
                <w:bCs/>
                <w:i/>
                <w:smallCaps/>
                <w:color w:val="000000"/>
              </w:rPr>
            </w:pPr>
            <w:r w:rsidRPr="00DC2100">
              <w:rPr>
                <w:rFonts w:asciiTheme="majorHAnsi" w:eastAsia="Calibri" w:hAnsiTheme="majorHAnsi" w:cstheme="majorHAnsi"/>
                <w:i/>
              </w:rPr>
              <w:t>Τα Προγράμματα Διδακτορικών Σπουδών:</w:t>
            </w:r>
          </w:p>
          <w:p w14:paraId="77F55F75"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στόχους που συνάδουν με τη στρατηγική του Ιδρύματος.</w:t>
            </w:r>
          </w:p>
          <w:p w14:paraId="1B5C0D95"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Έχουν ρητά επιδιωκόμενα μαθησιακά αποτελέσματα του επιπέδου 8 του ΕΕΠ.</w:t>
            </w:r>
          </w:p>
          <w:p w14:paraId="3581CD32"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Σχεδιάζονται με τη συμμετοχή των υποψηφίων διδακτόρων και άλλων ενδιαφερομένων μερών.</w:t>
            </w:r>
          </w:p>
          <w:p w14:paraId="4FA9B641"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Επιτρέπουν την ομαλή εξέλιξη των σπουδών των υποψηφίων διδακτόρων.</w:t>
            </w:r>
          </w:p>
          <w:p w14:paraId="3CC1B334"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Καθορίζουν τον αναμενόμενο φόρτο εργασίας, ιδιαίτερα όταν περιλαμβάνουν μαθήματα π.χ. σε ECTS.</w:t>
            </w:r>
          </w:p>
          <w:p w14:paraId="6E04B8B1"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Υπόκεινται σε επίσημη διαδικασία έγκρισης η οποία προβλέπεται στο θεσμικό πλαίσιο και τον εσωτερικό κανονισμό του Ιδρύματος.</w:t>
            </w:r>
          </w:p>
          <w:p w14:paraId="462E403B"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Παρέχουν στους υποψήφιους διδάκτορες τόσο ακαδημαϊκές γνώσεις όσο και δεξιότητες, οι οποίες μπορούν να συμβάλλουν στην προσωπική τους ανάπτυξη και μπορούν να εφαρμοστούν στη μελλοντική τους σταδιοδρομία.</w:t>
            </w:r>
          </w:p>
          <w:p w14:paraId="776300DB"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Οι στρατηγικές διεθνοποίησης θα πρέπει να αποτελούν εργαλείο για την αύξηση της ποιότητας της διδακτορικής εκπαίδευσης και την ανάπτυξη της ερευνητικής ικανότητας των Ιδρυμάτων. Η διεθνοποίηση στη διδακτορική εκπαίδευση είναι αναγκαία και εφαρμόζεται με διαφορετικούς τρόπους, όπως </w:t>
            </w:r>
            <w:r w:rsidR="005937FF">
              <w:rPr>
                <w:rFonts w:asciiTheme="majorHAnsi" w:eastAsia="Calibri" w:hAnsiTheme="majorHAnsi" w:cstheme="majorHAnsi"/>
                <w:i/>
              </w:rPr>
              <w:t>διεθνές φάσμα υποψήφιων διδακτόρων</w:t>
            </w:r>
            <w:r w:rsidRPr="00DC2100">
              <w:rPr>
                <w:rFonts w:asciiTheme="majorHAnsi" w:eastAsia="Calibri" w:hAnsiTheme="majorHAnsi" w:cstheme="majorHAnsi"/>
                <w:i/>
              </w:rPr>
              <w:t xml:space="preserve">, προσωπικό, εκδηλώσεις και προσκεκλημένοι ερευνητές, έως διεθνή κοινά διδακτορικά προγράμματα (κοινά προγράμματα σπουδών, με κοινές συμβουλευτικές επιτροπές </w:t>
            </w:r>
            <w:r w:rsidR="005937FF">
              <w:rPr>
                <w:rFonts w:asciiTheme="majorHAnsi" w:eastAsia="Calibri" w:hAnsiTheme="majorHAnsi" w:cstheme="majorHAnsi"/>
                <w:i/>
              </w:rPr>
              <w:t xml:space="preserve">και εξεταστές και -κατά τις θεσμικές δυνατότητες- </w:t>
            </w:r>
            <w:r w:rsidRPr="00DC2100">
              <w:rPr>
                <w:rFonts w:asciiTheme="majorHAnsi" w:eastAsia="Calibri" w:hAnsiTheme="majorHAnsi" w:cstheme="majorHAnsi"/>
                <w:i/>
              </w:rPr>
              <w:t xml:space="preserve">κοινό πτυχίο). Η διδακτορική εκπαίδευση θα πρέπει να περιλαμβάνει τη δυνατότητα κινητικότητας. </w:t>
            </w:r>
          </w:p>
          <w:p w14:paraId="2C24C134"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 xml:space="preserve">Η προσφορά κατάρτισης προς τους υποψήφιους διδάκτορες σε θέματα κατανόησης της δεοντολογίας της έρευνας είναι σημαντική και θα πρέπει να αποτελεί προτεραιότητα για τα Προγράμματα Διδακτορικών Σπουδών. </w:t>
            </w:r>
          </w:p>
          <w:p w14:paraId="1914B43F" w14:textId="77777777" w:rsidR="00DC2100" w:rsidRPr="00DC2100" w:rsidRDefault="00DC2100" w:rsidP="00DC2100">
            <w:pPr>
              <w:numPr>
                <w:ilvl w:val="0"/>
                <w:numId w:val="14"/>
              </w:numPr>
              <w:spacing w:after="160" w:line="259" w:lineRule="auto"/>
              <w:ind w:left="714" w:hanging="357"/>
              <w:contextualSpacing/>
              <w:jc w:val="both"/>
              <w:rPr>
                <w:rFonts w:asciiTheme="majorHAnsi" w:eastAsia="Calibri" w:hAnsiTheme="majorHAnsi" w:cstheme="majorHAnsi"/>
                <w:i/>
              </w:rPr>
            </w:pPr>
            <w:r w:rsidRPr="00DC2100">
              <w:rPr>
                <w:rFonts w:asciiTheme="majorHAnsi" w:eastAsia="Calibri" w:hAnsiTheme="majorHAnsi" w:cstheme="majorHAnsi"/>
                <w:i/>
              </w:rPr>
              <w:t>Η επαγγελματική ανάπτυξη των υποψηφίων διδακτόρων περιλαμβάνει, πέρα από τις δεξιότητες που αποκτώνται μέσω της έρευνας, ενημέρωση για το ευρύ φάσμα επιλογών σταδιοδρομίας για τους κατόχους διδακτορικού διπλώματος.</w:t>
            </w:r>
          </w:p>
          <w:p w14:paraId="4A538BE2" w14:textId="77777777" w:rsidR="00DC2100" w:rsidRPr="00DC2100" w:rsidRDefault="00DC2100" w:rsidP="00DC2100">
            <w:pPr>
              <w:spacing w:after="160" w:line="259" w:lineRule="auto"/>
              <w:jc w:val="both"/>
              <w:rPr>
                <w:rFonts w:asciiTheme="majorHAnsi" w:eastAsia="Calibri" w:hAnsiTheme="majorHAnsi" w:cstheme="majorHAnsi"/>
                <w:i/>
              </w:rPr>
            </w:pPr>
            <w:r w:rsidRPr="00DC2100">
              <w:rPr>
                <w:rFonts w:asciiTheme="majorHAnsi" w:eastAsia="Calibri" w:hAnsiTheme="majorHAnsi" w:cstheme="majorHAnsi"/>
                <w:i/>
              </w:rPr>
              <w:t>Προκειμένου να λάβουν διδακτορικό δίπλωμα, οι υποψήφιοι πρέπει να αποδείξουν την ικανότητά τους να διεξάγουν πρωτότυπη και ανεξάρτητη έρευνα, αποδεκτής ποιότητας σε διεθνές επίπεδο, στον οικείο επιστημονικό κλάδο, η οποία αξίζει να δημοσιευθεί σε εθνικό και διεθνές επίπεδο σε επιστημονικά περιοδικά με κριτές.</w:t>
            </w:r>
          </w:p>
          <w:p w14:paraId="022A4362" w14:textId="77777777" w:rsidR="00643DB3" w:rsidRPr="00DC2100" w:rsidRDefault="00DC2100" w:rsidP="00DC2100">
            <w:pPr>
              <w:spacing w:after="160" w:line="259" w:lineRule="auto"/>
              <w:jc w:val="both"/>
              <w:rPr>
                <w:rFonts w:ascii="Calibri" w:eastAsia="Calibri" w:hAnsi="Calibri" w:cs="Times New Roman"/>
              </w:rPr>
            </w:pPr>
            <w:r w:rsidRPr="00DC2100">
              <w:rPr>
                <w:rFonts w:asciiTheme="majorHAnsi" w:eastAsia="Calibri" w:hAnsiTheme="majorHAnsi" w:cstheme="majorHAnsi"/>
                <w:i/>
              </w:rPr>
              <w:t>Ο όρος διδακτορική εκπαίδευση σηματοδοτεί μια περίοδο ατομικής ερευνητικής εμπειρίας που οδηγεί σε πανεπιστημιακό δίπλωμα και πιστοποιεί την ανάπτυξη μιας ‘ερευνητικής ταυτότητας’ του υποψηφίου διδάκτορα. Οι υποψήφιοι διδάκτορες πρέπει να επιδείξουν δημιουργικό πνεύμα σε συνδυασμό με την προσήλωση στους επιστημονικούς στόχους τους και πρέπει να είναι σε θέση να υπερασπιστούν την ερευνητική τους διατριβή, σε τελικό στάδιο, στην ειδική επταμελή επιτροπή.</w:t>
            </w:r>
          </w:p>
        </w:tc>
      </w:tr>
    </w:tbl>
    <w:p w14:paraId="680146F2" w14:textId="77777777" w:rsidR="00CB339C" w:rsidRDefault="00CB339C" w:rsidP="00643DB3">
      <w:pPr>
        <w:spacing w:after="160" w:line="259" w:lineRule="auto"/>
        <w:rPr>
          <w:rFonts w:ascii="Calibri" w:eastAsia="SimSun" w:hAnsi="Calibri" w:cs="Calibri"/>
          <w:b/>
          <w:sz w:val="22"/>
          <w:szCs w:val="22"/>
          <w:u w:val="single"/>
          <w:lang w:eastAsia="el-GR"/>
        </w:rPr>
      </w:pPr>
    </w:p>
    <w:p w14:paraId="140BAEF9"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1F444001" w14:textId="77777777" w:rsidR="00BA460C" w:rsidRPr="003F3B83" w:rsidRDefault="00BA460C" w:rsidP="003F3B83">
      <w:pPr>
        <w:spacing w:line="259" w:lineRule="auto"/>
        <w:jc w:val="both"/>
        <w:rPr>
          <w:rFonts w:eastAsia="SimSun" w:cs="Calibri"/>
          <w:b/>
          <w:sz w:val="22"/>
          <w:szCs w:val="22"/>
          <w:u w:val="single"/>
          <w:lang w:eastAsia="el-GR"/>
        </w:rPr>
      </w:pPr>
    </w:p>
    <w:p w14:paraId="18582D06" w14:textId="77777777" w:rsidR="00BA460C" w:rsidRPr="00137B5F" w:rsidRDefault="00532990" w:rsidP="00BA460C">
      <w:pPr>
        <w:spacing w:after="60" w:line="259" w:lineRule="auto"/>
        <w:ind w:left="426" w:hanging="426"/>
        <w:jc w:val="both"/>
        <w:rPr>
          <w:rFonts w:cstheme="minorHAnsi"/>
          <w:sz w:val="22"/>
          <w:szCs w:val="22"/>
        </w:rPr>
      </w:pPr>
      <w:r>
        <w:rPr>
          <w:rFonts w:cstheme="minorHAnsi"/>
          <w:sz w:val="22"/>
          <w:szCs w:val="22"/>
        </w:rPr>
        <w:t>Δ</w:t>
      </w:r>
      <w:r w:rsidR="001D71E0">
        <w:rPr>
          <w:rFonts w:cstheme="minorHAnsi"/>
          <w:sz w:val="22"/>
          <w:szCs w:val="22"/>
        </w:rPr>
        <w:t xml:space="preserve">2.1 </w:t>
      </w:r>
      <w:r w:rsidR="00BA460C" w:rsidRPr="00BA460C">
        <w:rPr>
          <w:rFonts w:cstheme="minorHAnsi"/>
          <w:sz w:val="22"/>
          <w:szCs w:val="22"/>
        </w:rPr>
        <w:t>Απόφαση Συγκλήτου για την ίδρυση του ΠΔΣ</w:t>
      </w:r>
      <w:r w:rsidR="00137B5F" w:rsidRPr="00137B5F">
        <w:rPr>
          <w:rFonts w:cstheme="minorHAnsi"/>
          <w:sz w:val="22"/>
          <w:szCs w:val="22"/>
        </w:rPr>
        <w:t xml:space="preserve"> (</w:t>
      </w:r>
      <w:r w:rsidR="00137B5F">
        <w:rPr>
          <w:rFonts w:cstheme="minorHAnsi"/>
          <w:sz w:val="22"/>
          <w:szCs w:val="22"/>
        </w:rPr>
        <w:t>αρ. 91 του Ν. 4957/2022)</w:t>
      </w:r>
    </w:p>
    <w:p w14:paraId="09C3FDAC" w14:textId="77777777" w:rsidR="00BA460C" w:rsidRPr="00BA460C" w:rsidRDefault="00532990" w:rsidP="00E66E9E">
      <w:pPr>
        <w:spacing w:line="276" w:lineRule="auto"/>
        <w:jc w:val="both"/>
        <w:rPr>
          <w:rFonts w:cstheme="minorHAnsi"/>
          <w:sz w:val="22"/>
          <w:szCs w:val="22"/>
        </w:rPr>
      </w:pPr>
      <w:r>
        <w:rPr>
          <w:rFonts w:cstheme="minorHAnsi"/>
          <w:sz w:val="22"/>
          <w:szCs w:val="22"/>
        </w:rPr>
        <w:t>Δ</w:t>
      </w:r>
      <w:r w:rsidR="001D71E0">
        <w:rPr>
          <w:rFonts w:cstheme="minorHAnsi"/>
          <w:sz w:val="22"/>
          <w:szCs w:val="22"/>
        </w:rPr>
        <w:t xml:space="preserve">2.2 </w:t>
      </w:r>
      <w:r w:rsidR="00BA460C" w:rsidRPr="00BA460C">
        <w:rPr>
          <w:rFonts w:cstheme="minorHAnsi"/>
          <w:sz w:val="22"/>
          <w:szCs w:val="22"/>
        </w:rPr>
        <w:t>Δομή του ΠΔΣ: διάρκεια, μαθήματα, απονομή ECTS, προσδοκώμενα μαθησιακά αποτελέσματα σύμφωνα με το ΕΠΠ επιπέδου 8, απαιτήσεις ποιότητας της διατριβής, κ.ά.</w:t>
      </w:r>
    </w:p>
    <w:p w14:paraId="3EE775B1" w14:textId="77777777" w:rsidR="00BA460C" w:rsidRPr="00BA460C" w:rsidRDefault="00532990" w:rsidP="00B90E62">
      <w:pPr>
        <w:spacing w:line="276" w:lineRule="auto"/>
        <w:jc w:val="both"/>
        <w:rPr>
          <w:rFonts w:cstheme="minorHAnsi"/>
          <w:sz w:val="22"/>
          <w:szCs w:val="22"/>
        </w:rPr>
      </w:pPr>
      <w:r>
        <w:rPr>
          <w:rFonts w:cstheme="minorHAnsi"/>
          <w:sz w:val="22"/>
          <w:szCs w:val="22"/>
        </w:rPr>
        <w:t>Δ</w:t>
      </w:r>
      <w:r w:rsidR="005F2867">
        <w:rPr>
          <w:rFonts w:cstheme="minorHAnsi"/>
          <w:sz w:val="22"/>
          <w:szCs w:val="22"/>
        </w:rPr>
        <w:t xml:space="preserve">2.3 </w:t>
      </w:r>
      <w:r w:rsidR="00BA460C" w:rsidRPr="00BA460C">
        <w:rPr>
          <w:rFonts w:cstheme="minorHAnsi"/>
          <w:sz w:val="22"/>
          <w:szCs w:val="22"/>
        </w:rPr>
        <w:t>Τα απαιτούμενα προσόντα του διδακτικού προσωπικού για την επίβλεψη διδακτορικής διατριβής</w:t>
      </w:r>
    </w:p>
    <w:p w14:paraId="509AE8B5" w14:textId="77777777" w:rsidR="00643DB3" w:rsidRPr="00643DB3" w:rsidRDefault="00643DB3" w:rsidP="00F80911">
      <w:pPr>
        <w:spacing w:after="120" w:line="259" w:lineRule="auto"/>
        <w:contextualSpacing/>
        <w:jc w:val="both"/>
        <w:rPr>
          <w:rFonts w:ascii="Calibri" w:eastAsia="SimSun" w:hAnsi="Calibri" w:cs="Calibri"/>
          <w:color w:val="000000"/>
          <w:sz w:val="22"/>
          <w:szCs w:val="22"/>
          <w:lang w:eastAsia="el-GR"/>
        </w:rPr>
      </w:pPr>
      <w:r w:rsidRPr="00643DB3">
        <w:rPr>
          <w:rFonts w:ascii="Calibri" w:eastAsia="SimSun" w:hAnsi="Calibri" w:cs="Calibri"/>
          <w:color w:val="000000"/>
          <w:sz w:val="22"/>
          <w:szCs w:val="22"/>
          <w:lang w:eastAsia="el-GR"/>
        </w:rPr>
        <w:br w:type="page"/>
      </w:r>
    </w:p>
    <w:p w14:paraId="61DE46B0" w14:textId="77777777" w:rsidR="00443367" w:rsidRPr="006B6863" w:rsidRDefault="006B6863" w:rsidP="006B6863">
      <w:pPr>
        <w:pStyle w:val="10"/>
        <w:numPr>
          <w:ilvl w:val="0"/>
          <w:numId w:val="12"/>
        </w:numPr>
        <w:tabs>
          <w:tab w:val="clear" w:pos="9356"/>
        </w:tabs>
        <w:ind w:left="426" w:hanging="426"/>
        <w:rPr>
          <w:rFonts w:ascii="Calibri" w:hAnsi="Calibri"/>
          <w:noProof/>
          <w:sz w:val="26"/>
          <w:szCs w:val="26"/>
        </w:rPr>
      </w:pPr>
      <w:bookmarkStart w:id="6" w:name="_Toc140842665"/>
      <w:bookmarkStart w:id="7" w:name="_Toc142386241"/>
      <w:bookmarkStart w:id="8" w:name="_Toc469405375"/>
      <w:r w:rsidRPr="006B6863">
        <w:rPr>
          <w:rFonts w:ascii="Calibri" w:hAnsi="Calibri"/>
          <w:sz w:val="26"/>
          <w:szCs w:val="26"/>
        </w:rPr>
        <w:lastRenderedPageBreak/>
        <w:t xml:space="preserve">Κανονισμοί για την επιλογή των υποψηφίων διδακτόρων, </w:t>
      </w:r>
      <w:r w:rsidR="00E66E9E">
        <w:rPr>
          <w:rFonts w:ascii="Calibri" w:hAnsi="Calibri"/>
          <w:sz w:val="26"/>
          <w:szCs w:val="26"/>
        </w:rPr>
        <w:t>την εφαρμογή ίσων ευκαιριών, τη</w:t>
      </w:r>
      <w:r w:rsidRPr="006B6863">
        <w:rPr>
          <w:rFonts w:ascii="Calibri" w:hAnsi="Calibri"/>
          <w:sz w:val="26"/>
          <w:szCs w:val="26"/>
        </w:rPr>
        <w:t xml:space="preserve"> συμπεριληπτικότητα, την εποπτεία της διατριβής, την ολοκλήρωση και την αναγνώριση των διδακτορικών σπουδών</w:t>
      </w:r>
      <w:bookmarkEnd w:id="6"/>
      <w:bookmarkEnd w:id="7"/>
    </w:p>
    <w:p w14:paraId="274AAD19" w14:textId="77777777" w:rsidR="009434AE" w:rsidRPr="009434AE" w:rsidRDefault="009434AE" w:rsidP="009434AE">
      <w:pPr>
        <w:pStyle w:val="10"/>
        <w:outlineLvl w:val="9"/>
        <w:rPr>
          <w:sz w:val="26"/>
          <w:szCs w:val="26"/>
        </w:rPr>
      </w:pPr>
      <w:bookmarkStart w:id="9" w:name="_Toc140657296"/>
      <w:r w:rsidRPr="009434AE">
        <w:rPr>
          <w:sz w:val="26"/>
          <w:szCs w:val="26"/>
        </w:rPr>
        <w:t>Τα Ιδρύματα πρέπει να δημοσιεύουν κανονισμούς τόσο για την εισαγωγή υποψηφίων, όσο και για όλα τα στάδια των σπουδών, την εποπτεία του υποψηφίου διδάκτορα, την πρόοδο των σπουδών, την ολοκλήρωση και την αναγνώρισή τους και την παροχή τίτλων κατά την αποφοίτηση.</w:t>
      </w:r>
      <w:bookmarkEnd w:id="9"/>
      <w:r w:rsidRPr="009434AE">
        <w:rPr>
          <w:sz w:val="26"/>
          <w:szCs w:val="26"/>
        </w:rPr>
        <w:t xml:space="preserve"> </w:t>
      </w:r>
    </w:p>
    <w:tbl>
      <w:tblPr>
        <w:tblStyle w:val="3"/>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443367" w:rsidRPr="00443367" w14:paraId="489FCCE6" w14:textId="77777777" w:rsidTr="000D0F76">
        <w:tc>
          <w:tcPr>
            <w:tcW w:w="9044" w:type="dxa"/>
          </w:tcPr>
          <w:bookmarkEnd w:id="8"/>
          <w:p w14:paraId="76DF65C8" w14:textId="77777777" w:rsidR="00F335FB" w:rsidRPr="00F335FB" w:rsidRDefault="00F335FB" w:rsidP="00F335FB">
            <w:pPr>
              <w:spacing w:before="240"/>
              <w:jc w:val="both"/>
              <w:rPr>
                <w:rFonts w:asciiTheme="majorHAnsi" w:hAnsiTheme="majorHAnsi" w:cstheme="majorHAnsi"/>
                <w:i/>
                <w:noProof/>
              </w:rPr>
            </w:pPr>
            <w:r w:rsidRPr="00F335FB">
              <w:rPr>
                <w:rFonts w:asciiTheme="majorHAnsi" w:hAnsiTheme="majorHAnsi" w:cstheme="majorHAnsi"/>
                <w:i/>
                <w:noProof/>
              </w:rPr>
              <w:t>Μέσω των εσωτερικών κανονισμών των ακαδημαϊκών μονάδων, θα πρέπει να ρυθμίζονται όλα τα θέματα από την έναρξη έως το πέρας των διδακτορικών σπουδών. Ενδεικτικά, πρέπει να ρυθμίζονται:</w:t>
            </w:r>
          </w:p>
          <w:p w14:paraId="7350915B"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Τα κριτήρια, οι διαδικασίες επιλογής των υποψηφίων και τα απαιτούμενα δικαιολογητικά</w:t>
            </w:r>
          </w:p>
          <w:p w14:paraId="74E538E1"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T</w:t>
            </w:r>
            <w:r w:rsidRPr="00F335FB">
              <w:rPr>
                <w:rFonts w:asciiTheme="majorHAnsi" w:hAnsiTheme="majorHAnsi" w:cstheme="majorHAnsi"/>
                <w:i/>
                <w:noProof/>
                <w:lang w:val="el-GR"/>
              </w:rPr>
              <w:t>α δικαιώματα και οι υποχρεώσεις, η παρακολούθηση της προόδου των διδακτορικών φοιτητών</w:t>
            </w:r>
          </w:p>
          <w:p w14:paraId="18C41470"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ενδεχόμενη χορήγηση υποτροφιών και η ενδεχόμενη χρηματοδότηση της έρευνας</w:t>
            </w:r>
          </w:p>
          <w:p w14:paraId="3550DA8A"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τήρηση του κώδικα ηθικής και δεοντολογίας της έρευνας από όλα τα εμπλεκόμενα μέρη</w:t>
            </w:r>
          </w:p>
          <w:p w14:paraId="79DCAF67"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υποχρεώσεις του διδακτικού προσωπικού, οι διαδικασίες εποπτείας και συμβουλευτικής υποστήριξης</w:t>
            </w:r>
          </w:p>
          <w:p w14:paraId="2242095E"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Οι όροι εκπόνησης των επιστημονικών εργασιών και η δημοσίευσή τους</w:t>
            </w:r>
          </w:p>
          <w:p w14:paraId="5A6E13DE"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lang w:val="el-GR"/>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διδακτορικών φοιτητών στις σπουδές τους, καθώς και</w:t>
            </w:r>
          </w:p>
          <w:p w14:paraId="4BFD18BE" w14:textId="77777777" w:rsidR="00F335FB" w:rsidRPr="00F335FB" w:rsidRDefault="00F335FB" w:rsidP="00F335FB">
            <w:pPr>
              <w:pStyle w:val="ListParagraph"/>
              <w:numPr>
                <w:ilvl w:val="0"/>
                <w:numId w:val="16"/>
              </w:numPr>
              <w:spacing w:after="120" w:line="259" w:lineRule="auto"/>
              <w:ind w:left="567" w:hanging="283"/>
              <w:jc w:val="both"/>
              <w:rPr>
                <w:rFonts w:asciiTheme="majorHAnsi" w:hAnsiTheme="majorHAnsi" w:cstheme="majorHAnsi"/>
                <w:i/>
                <w:noProof/>
                <w:lang w:val="el-GR"/>
              </w:rPr>
            </w:pPr>
            <w:r w:rsidRPr="00F335FB">
              <w:rPr>
                <w:rFonts w:asciiTheme="majorHAnsi" w:hAnsiTheme="majorHAnsi" w:cstheme="majorHAnsi"/>
                <w:i/>
                <w:noProof/>
              </w:rPr>
              <w:t>O</w:t>
            </w:r>
            <w:r w:rsidRPr="00F335FB">
              <w:rPr>
                <w:rFonts w:asciiTheme="majorHAnsi" w:hAnsiTheme="majorHAnsi" w:cstheme="majorHAnsi"/>
                <w:i/>
                <w:noProof/>
                <w:lang w:val="el-GR"/>
              </w:rPr>
              <w:t>ι όροι και οι προϋποθέσεις για την ενίσχυση της κινητικότητας</w:t>
            </w:r>
          </w:p>
          <w:p w14:paraId="47AB1CD8"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Στις διδακτορικές σπουδές η συμβουλευτική διαδικασία διαδραματίζει καθοριστικό ρόλο. Η συγκεκριμένη διαδικασία πρέπει να υπόκειται σε σαφώς καθορισμένες γραπτές αρμοδιότητες του κύριου επιβλέποντα, της συμβουλευτικής επιτροπής, του Τμήματος και του Ιδρύματος στο πλαίσιο του κανονισμού διδακτορικών σπουδών, αφήνοντας χώρο για την ατομική ανάπτυξη του υποψήφιου διδάκτορα.</w:t>
            </w:r>
          </w:p>
          <w:p w14:paraId="0A7E72EC" w14:textId="77777777" w:rsidR="00F335FB" w:rsidRPr="00F335FB" w:rsidRDefault="00F335FB" w:rsidP="00F335FB">
            <w:pPr>
              <w:jc w:val="both"/>
              <w:rPr>
                <w:rFonts w:asciiTheme="majorHAnsi" w:hAnsiTheme="majorHAnsi" w:cstheme="majorHAnsi"/>
                <w:i/>
                <w:color w:val="FF0000"/>
              </w:rPr>
            </w:pPr>
            <w:r w:rsidRPr="00F335FB">
              <w:rPr>
                <w:rFonts w:asciiTheme="majorHAnsi" w:hAnsiTheme="majorHAnsi" w:cstheme="majorHAnsi"/>
                <w:i/>
              </w:rPr>
              <w:t>Τα δομημένα Προγράμματα Διδακτορικών Σπουδών θα πρέπει να αναπτύσσουν στρατηγικές επιλογής των υποψηφίων που να ανταποκρίνονται στην ιδιαίτερη αποστολή και το προφίλ τους. Οι στρατηγικές επιλογής υποψηφίων θα πρέπει να συνδέονται με συγκεκριμένα αποτελέσματα, προσδιορίζοντας ένα σαφές προφίλ των επιθυμητών υποψηφίων. Τα εν λόγω προφίλ θα πρέπει να βασίζονται στην ίση μεταχείριση μιας σειράς διαφορετικών ιδιοτήτων ή χαρακτηριστικών και να διασφαλίζουν την ισότητα των ευκαιριών. Με αυτόν τον τρόπο, οι πολιτικές επιλογής θα μπορούσαν να λαμβάνουν υπόψη κριτήρια όπως η διεθνής προέλευση, η ισότητα φύλων, το κοινωνικό υπόβαθρο ή οι διάφορες ηλικιακές ομάδες.</w:t>
            </w:r>
          </w:p>
          <w:p w14:paraId="300B8327"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Η επιλογή θα πρέπει να αποτιμά το ερευνητικό δυναμικό των υποψηφίων σε σχέση με τις προηγούμενες επιδόσεις και, πάνω απ' όλα, τις δυνατότητες των υποψηφίων να επιτύχουν στο πρόγραμμα στο οποίο γίνονται δεκτοί. </w:t>
            </w:r>
          </w:p>
          <w:p w14:paraId="44B34A95" w14:textId="77777777" w:rsidR="00F335FB" w:rsidRPr="00F335FB" w:rsidRDefault="00F335FB" w:rsidP="00F335FB">
            <w:pPr>
              <w:jc w:val="both"/>
              <w:rPr>
                <w:rFonts w:asciiTheme="majorHAnsi" w:hAnsiTheme="majorHAnsi" w:cstheme="majorHAnsi"/>
                <w:i/>
              </w:rPr>
            </w:pPr>
            <w:r w:rsidRPr="00F335FB">
              <w:rPr>
                <w:rFonts w:asciiTheme="majorHAnsi" w:hAnsiTheme="majorHAnsi" w:cstheme="majorHAnsi"/>
                <w:i/>
              </w:rPr>
              <w:t xml:space="preserve">Οι πολιτικές επιλογής πρέπει να είναι διαφανείς και πρέπει να αντικατοπτρίζουν την ερευνητική και οικονομική ικανότητα του Ιδρύματος. Η διαφάνεια και η λογοδοσία θα πρέπει να ενισχυθεί με την ύπαρξη ενός ενιαίου, αναγνωρίσιμου τρόπου υποβολής αιτήσεων, ενώ πρέπει να βασίζονται σε ένα καλά καθορισμένο, δημοσιευμένο σύνολο κριτηρίων. </w:t>
            </w:r>
          </w:p>
          <w:p w14:paraId="2D4100AF" w14:textId="77777777" w:rsidR="00F335FB" w:rsidRPr="00F335FB" w:rsidRDefault="00F335FB" w:rsidP="00F335FB">
            <w:pPr>
              <w:rPr>
                <w:rFonts w:asciiTheme="majorHAnsi" w:hAnsiTheme="majorHAnsi" w:cstheme="majorHAnsi"/>
                <w:i/>
              </w:rPr>
            </w:pPr>
            <w:r w:rsidRPr="00F335FB">
              <w:rPr>
                <w:rFonts w:asciiTheme="majorHAnsi" w:hAnsiTheme="majorHAnsi" w:cstheme="majorHAnsi"/>
                <w:i/>
              </w:rPr>
              <w:t xml:space="preserve">Τα ΠΔΣ θα πρέπει να εφαρμόζουν συγκεκριμένες διαδικασίες για α) την παρακολούθηση της πορείας των υποψηφίων διδακτόρων, με καθορισμένη περιοδικότητα (π.χ. ετήσια έκθεση προόδου) ή με εφ’ άπαξ εφαρμογή (π.χ. ενδιάμεση προφορική εξέταση/τεκμηριωμένη παρουσίαση </w:t>
            </w:r>
            <w:r w:rsidRPr="00F335FB">
              <w:rPr>
                <w:rFonts w:asciiTheme="majorHAnsi" w:hAnsiTheme="majorHAnsi" w:cstheme="majorHAnsi"/>
                <w:i/>
              </w:rPr>
              <w:lastRenderedPageBreak/>
              <w:t xml:space="preserve">προόδου), β) την επιτυχή ολοκλήρωση της διατριβής και </w:t>
            </w:r>
            <w:r w:rsidR="00E66E9E">
              <w:rPr>
                <w:rFonts w:asciiTheme="majorHAnsi" w:hAnsiTheme="majorHAnsi" w:cstheme="majorHAnsi"/>
                <w:i/>
              </w:rPr>
              <w:t>την παρουσίασή της, ή γ) για τη</w:t>
            </w:r>
            <w:r w:rsidRPr="00F335FB">
              <w:rPr>
                <w:rFonts w:asciiTheme="majorHAnsi" w:hAnsiTheme="majorHAnsi" w:cstheme="majorHAnsi"/>
                <w:i/>
              </w:rPr>
              <w:t xml:space="preserve"> διαγραφή από το πρόγραμμα λόγω ανεπαρκούς προόδου.  </w:t>
            </w:r>
          </w:p>
          <w:p w14:paraId="31C40926" w14:textId="77777777" w:rsidR="00443367" w:rsidRPr="00443367" w:rsidRDefault="00443367" w:rsidP="00F23706">
            <w:pPr>
              <w:spacing w:after="80"/>
              <w:contextualSpacing/>
              <w:jc w:val="both"/>
              <w:rPr>
                <w:rFonts w:ascii="Calibri" w:hAnsi="Calibri" w:cs="Calibri"/>
              </w:rPr>
            </w:pPr>
          </w:p>
        </w:tc>
      </w:tr>
    </w:tbl>
    <w:p w14:paraId="35846215" w14:textId="77777777" w:rsidR="00443367" w:rsidRPr="00443367" w:rsidRDefault="00443367" w:rsidP="00443367">
      <w:pPr>
        <w:tabs>
          <w:tab w:val="left" w:pos="9356"/>
        </w:tabs>
        <w:spacing w:after="120" w:line="259" w:lineRule="auto"/>
        <w:jc w:val="both"/>
        <w:rPr>
          <w:rFonts w:ascii="Calibri" w:eastAsia="SimSun" w:hAnsi="Calibri" w:cs="Calibri"/>
          <w:b/>
          <w:smallCaps/>
          <w:color w:val="1B587C"/>
          <w:u w:val="single"/>
          <w:lang w:eastAsia="el-GR"/>
        </w:rPr>
      </w:pPr>
    </w:p>
    <w:p w14:paraId="32B380E5" w14:textId="77777777" w:rsidR="003F3B83" w:rsidRDefault="003F3B83" w:rsidP="003F3B83">
      <w:pPr>
        <w:spacing w:after="160" w:line="276" w:lineRule="auto"/>
        <w:contextualSpacing/>
        <w:rPr>
          <w:rFonts w:ascii="Calibri" w:eastAsia="SimSun" w:hAnsi="Calibri" w:cs="Arial"/>
          <w:sz w:val="22"/>
          <w:szCs w:val="22"/>
          <w:lang w:eastAsia="el-GR"/>
        </w:rPr>
      </w:pPr>
    </w:p>
    <w:p w14:paraId="2B648CB0" w14:textId="77777777" w:rsidR="003B64EE" w:rsidRDefault="008C6508" w:rsidP="003B64EE">
      <w:pPr>
        <w:spacing w:line="259" w:lineRule="auto"/>
        <w:jc w:val="both"/>
        <w:rPr>
          <w:rFonts w:eastAsia="SimSun" w:cs="Calibri"/>
          <w:b/>
          <w:sz w:val="22"/>
          <w:szCs w:val="22"/>
          <w:u w:val="single"/>
          <w:lang w:eastAsia="el-GR"/>
        </w:rPr>
      </w:pPr>
      <w:r>
        <w:rPr>
          <w:rFonts w:eastAsia="SimSun" w:cs="Calibri"/>
          <w:b/>
          <w:sz w:val="22"/>
          <w:szCs w:val="22"/>
          <w:u w:val="single"/>
          <w:lang w:val="en-US" w:eastAsia="el-GR"/>
        </w:rPr>
        <w:t>T</w:t>
      </w:r>
      <w:r w:rsidR="003B64EE">
        <w:rPr>
          <w:rFonts w:eastAsia="SimSun" w:cs="Calibri"/>
          <w:b/>
          <w:sz w:val="22"/>
          <w:szCs w:val="22"/>
          <w:u w:val="single"/>
          <w:lang w:eastAsia="el-GR"/>
        </w:rPr>
        <w:t>εκμηρίωση/Παραρτήματα</w:t>
      </w:r>
    </w:p>
    <w:p w14:paraId="4B75F7F4" w14:textId="77777777" w:rsidR="003F3B83" w:rsidRDefault="003F3B83" w:rsidP="003F3B83">
      <w:pPr>
        <w:spacing w:line="259" w:lineRule="auto"/>
        <w:jc w:val="both"/>
        <w:rPr>
          <w:rFonts w:eastAsia="SimSun" w:cs="Calibri"/>
          <w:b/>
          <w:sz w:val="22"/>
          <w:szCs w:val="22"/>
          <w:u w:val="single"/>
          <w:lang w:eastAsia="el-GR"/>
        </w:rPr>
      </w:pPr>
    </w:p>
    <w:p w14:paraId="07B63871"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Δ3.1 Κανονισμός διδακτορικών σπουδών του Τμήματος (αρ. 91 του Ν. 4957/2022)</w:t>
      </w:r>
    </w:p>
    <w:p w14:paraId="749FF0A2" w14:textId="77777777" w:rsidR="00595306" w:rsidRPr="00595306" w:rsidRDefault="00595306" w:rsidP="00595306">
      <w:pPr>
        <w:spacing w:after="60"/>
        <w:jc w:val="both"/>
        <w:rPr>
          <w:sz w:val="22"/>
          <w:szCs w:val="22"/>
        </w:rPr>
      </w:pPr>
      <w:r w:rsidRPr="00595306">
        <w:rPr>
          <w:rFonts w:ascii="Calibri" w:eastAsia="SimSun" w:hAnsi="Calibri" w:cs="Calibri"/>
          <w:sz w:val="22"/>
          <w:szCs w:val="22"/>
          <w:lang w:eastAsia="el-GR"/>
        </w:rPr>
        <w:t xml:space="preserve">Δ3.2 </w:t>
      </w:r>
      <w:r w:rsidRPr="00595306">
        <w:rPr>
          <w:rFonts w:eastAsia="SimSun" w:cstheme="minorHAnsi"/>
          <w:sz w:val="22"/>
          <w:szCs w:val="22"/>
        </w:rPr>
        <w:t>Κανονισμός σπουδών του εκάστοτε ΠΔΣ (κριτήρια επιλογής υποψηφίων διδακτόρων, συμβουλευτική διαδικασία, όροι εκπόνησης εργασιών, παρακολούθηση προόδου, δικαιώματα-υποχρεώσεις των υποψηφίων διδακτόρων και του προσωπικού, κριτήρια και προϋποθέσεις για την απονομή διδακτορικού τίτλου σπουδών, κ.ά.), εκτός εάν ο κανονισμός αυτός αποτελεί μέρος του κανονισμού διδακτορικών σπουδών του Τμήματος</w:t>
      </w:r>
    </w:p>
    <w:p w14:paraId="36DF6FC9"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Δ3.3 Κανονισμός Δεοντολογίας της Έρευνας</w:t>
      </w:r>
    </w:p>
    <w:p w14:paraId="34D05274" w14:textId="77777777" w:rsidR="00595306" w:rsidRPr="00595306" w:rsidRDefault="00595306" w:rsidP="00595306">
      <w:pPr>
        <w:spacing w:after="60"/>
        <w:ind w:left="426" w:hanging="426"/>
        <w:jc w:val="both"/>
        <w:rPr>
          <w:rFonts w:cstheme="minorHAnsi"/>
          <w:sz w:val="22"/>
          <w:szCs w:val="22"/>
        </w:rPr>
      </w:pPr>
      <w:r w:rsidRPr="00595306">
        <w:rPr>
          <w:rFonts w:cstheme="minorHAnsi"/>
          <w:sz w:val="22"/>
          <w:szCs w:val="22"/>
        </w:rPr>
        <w:t xml:space="preserve">Δ3.4 Υπόδειγμα διδακτορικού διπλώματος </w:t>
      </w:r>
    </w:p>
    <w:p w14:paraId="36F7FD37" w14:textId="77777777" w:rsidR="00443367" w:rsidRPr="00B31C2F" w:rsidRDefault="00443367" w:rsidP="00562F95">
      <w:pPr>
        <w:spacing w:after="160" w:line="276" w:lineRule="auto"/>
        <w:contextualSpacing/>
        <w:jc w:val="both"/>
        <w:rPr>
          <w:rFonts w:ascii="Calibri" w:eastAsia="SimSun" w:hAnsi="Calibri" w:cs="Arial"/>
          <w:sz w:val="22"/>
          <w:szCs w:val="22"/>
          <w:lang w:eastAsia="el-GR"/>
        </w:rPr>
      </w:pPr>
      <w:r w:rsidRPr="00B31C2F">
        <w:rPr>
          <w:rFonts w:ascii="Calibri" w:eastAsia="SimSun" w:hAnsi="Calibri" w:cs="Arial"/>
          <w:sz w:val="22"/>
          <w:szCs w:val="22"/>
          <w:lang w:eastAsia="el-GR"/>
        </w:rPr>
        <w:br w:type="page"/>
      </w:r>
    </w:p>
    <w:p w14:paraId="62B9EEFC" w14:textId="77777777" w:rsidR="001134A7" w:rsidRPr="001134A7" w:rsidRDefault="001134A7" w:rsidP="001134A7">
      <w:pPr>
        <w:pStyle w:val="10"/>
        <w:numPr>
          <w:ilvl w:val="0"/>
          <w:numId w:val="12"/>
        </w:numPr>
        <w:tabs>
          <w:tab w:val="clear" w:pos="9356"/>
        </w:tabs>
        <w:ind w:left="426" w:hanging="426"/>
        <w:rPr>
          <w:rFonts w:ascii="Calibri" w:hAnsi="Calibri"/>
          <w:sz w:val="26"/>
          <w:szCs w:val="26"/>
        </w:rPr>
      </w:pPr>
      <w:bookmarkStart w:id="10" w:name="_Toc140842666"/>
      <w:bookmarkStart w:id="11" w:name="_Toc142386242"/>
      <w:bookmarkStart w:id="12" w:name="_Toc469405377"/>
      <w:r w:rsidRPr="001134A7">
        <w:rPr>
          <w:rFonts w:ascii="Calibri" w:hAnsi="Calibri"/>
          <w:sz w:val="26"/>
          <w:szCs w:val="26"/>
        </w:rPr>
        <w:lastRenderedPageBreak/>
        <w:t>Μαθησιακοί πόροι και υποστήριξη των διδακτορικών φοιτητών</w:t>
      </w:r>
      <w:bookmarkEnd w:id="10"/>
      <w:bookmarkEnd w:id="11"/>
    </w:p>
    <w:p w14:paraId="121228BE" w14:textId="77777777" w:rsidR="001134A7" w:rsidRPr="001134A7" w:rsidRDefault="001134A7" w:rsidP="001134A7">
      <w:pPr>
        <w:pStyle w:val="10"/>
        <w:outlineLvl w:val="9"/>
        <w:rPr>
          <w:sz w:val="26"/>
          <w:szCs w:val="26"/>
        </w:rPr>
      </w:pPr>
      <w:bookmarkStart w:id="13" w:name="_Toc140657298"/>
      <w:r w:rsidRPr="001134A7">
        <w:rPr>
          <w:sz w:val="26"/>
          <w:szCs w:val="26"/>
        </w:rPr>
        <w:t>Τα Ιδρύματα θα πρέπει να διαθέτουν κατάλληλη χρηματοδότηση για δραστηριότητες μάθησης και έρευνας, να διασφαλίζουν ότι παρέχονται επαρκείς και προσβάσιμοι πόροι και υπηρεσίες υποστήριξης των διδακτορικών φοιτητών.</w:t>
      </w:r>
      <w:bookmarkEnd w:id="13"/>
      <w:r w:rsidRPr="001134A7">
        <w:rPr>
          <w:sz w:val="26"/>
          <w:szCs w:val="26"/>
        </w:rPr>
        <w:t xml:space="preserve"> </w:t>
      </w:r>
    </w:p>
    <w:tbl>
      <w:tblPr>
        <w:tblStyle w:val="4"/>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090B18" w:rsidRPr="00090B18" w14:paraId="53E1BBF5" w14:textId="77777777" w:rsidTr="007E08A7">
        <w:tc>
          <w:tcPr>
            <w:tcW w:w="9044" w:type="dxa"/>
          </w:tcPr>
          <w:p w14:paraId="5DB1C9C7" w14:textId="77777777" w:rsidR="00E065CE" w:rsidRDefault="00090B18" w:rsidP="007E08A7">
            <w:pPr>
              <w:jc w:val="both"/>
              <w:rPr>
                <w:rFonts w:ascii="Calibri" w:hAnsi="Calibri" w:cs="Calibri"/>
                <w:b/>
                <w:smallCaps/>
                <w:sz w:val="26"/>
                <w:szCs w:val="26"/>
              </w:rPr>
            </w:pPr>
            <w:r w:rsidRPr="00090B18">
              <w:rPr>
                <w:rFonts w:ascii="Calibri" w:hAnsi="Calibri" w:cs="Calibri"/>
                <w:b/>
                <w:smallCaps/>
                <w:sz w:val="26"/>
                <w:szCs w:val="26"/>
              </w:rPr>
              <w:t xml:space="preserve"> </w:t>
            </w:r>
            <w:bookmarkEnd w:id="12"/>
          </w:p>
          <w:p w14:paraId="0896BF72"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Τα Ιδρύματα παρέχουν μια σειρά από πόρους για την υποστήριξη της μάθησης και της ερευνητικής εργασίας των διδακτορικών φοιτητών. Αυτοί ποικίλλουν από φυσικούς πόρους όπως βιβλιοθήκες, εγκαταστάσεις για μελέτη, εργαστήρια και υποδομές πληροφορικής έως ανθρώπινο δυναμικό υποστήριξης, συμβούλους καθηγητές, διοικητικές υπηρεσίες κλπ. Οι ανάγκες ενός ποικιλόμορφου φοιτητικού πληθυσμού (όπως ώριμοι, νέοι, εργαζόμενοι και διεθνείς φοιτητές, καθώς και φοιτητές με αναπηρίες) και η στροφή προς τη μάθηση με επίκεντρο το διδακτορικό φοιτητή, λαμβάνονται υπόψη κατά την κατανομή, το σχεδιασμό και την παροχή των μαθησιακών πόρων και των υπηρεσιών υποστήριξης.</w:t>
            </w:r>
          </w:p>
          <w:p w14:paraId="1A3B3E53"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 xml:space="preserve"> </w:t>
            </w:r>
          </w:p>
          <w:p w14:paraId="6DD2BBAF" w14:textId="77777777" w:rsidR="007E08A7" w:rsidRDefault="007E08A7" w:rsidP="007E08A7">
            <w:pPr>
              <w:jc w:val="both"/>
              <w:rPr>
                <w:rFonts w:asciiTheme="majorHAnsi" w:hAnsiTheme="majorHAnsi" w:cstheme="majorHAnsi"/>
                <w:i/>
              </w:rPr>
            </w:pPr>
            <w:r w:rsidRPr="007E08A7">
              <w:rPr>
                <w:rFonts w:asciiTheme="majorHAnsi" w:hAnsiTheme="majorHAnsi" w:cstheme="majorHAnsi"/>
                <w:i/>
              </w:rPr>
              <w:t xml:space="preserve">Οι υποστηρικτικές δραστηριότητες και εγκαταστάσεις μπορούν να οργανωθούν με τρόπο ώστε να συνιστούν ένα ελκυστικό ακαδημαϊκό περιβάλλον. Ωστόσο, η εσωτερική διασφάλιση ποιότητας του Ιδρύματος εγγυάται ότι όλοι οι πόροι είναι κατάλληλοι για το σκοπό τους, προσβάσιμοι, και ότι οι διδακτορικοί φοιτητές ενημερώνονται για τις υπηρεσίες που είναι διαθέσιμες σε αυτούς. </w:t>
            </w:r>
          </w:p>
          <w:p w14:paraId="487717FE" w14:textId="77777777" w:rsidR="007E08A7" w:rsidRPr="007E08A7" w:rsidRDefault="007E08A7" w:rsidP="007E08A7">
            <w:pPr>
              <w:jc w:val="both"/>
              <w:rPr>
                <w:rFonts w:asciiTheme="majorHAnsi" w:hAnsiTheme="majorHAnsi" w:cstheme="majorHAnsi"/>
                <w:i/>
              </w:rPr>
            </w:pPr>
          </w:p>
          <w:p w14:paraId="1BE04903" w14:textId="77777777" w:rsidR="007E08A7" w:rsidRPr="007E08A7" w:rsidRDefault="007E08A7" w:rsidP="007E08A7">
            <w:pPr>
              <w:jc w:val="both"/>
              <w:rPr>
                <w:rFonts w:asciiTheme="majorHAnsi" w:hAnsiTheme="majorHAnsi" w:cstheme="majorHAnsi"/>
                <w:i/>
              </w:rPr>
            </w:pPr>
            <w:r w:rsidRPr="007E08A7">
              <w:rPr>
                <w:rFonts w:asciiTheme="majorHAnsi" w:hAnsiTheme="majorHAnsi" w:cstheme="majorHAnsi"/>
                <w:i/>
              </w:rPr>
              <w:t>Η υψηλής ποιότητας διδακτορική εκπαίδευση απαιτεί επαρκή, βιώσιμη χρηματοδότηση καθώς και πρόσθετες ευκαιρίες χρηματοδότησης για εξειδικευμένους διδακτορικούς τίτλους (π.χ. βιομηχανικά διδακτορικά). Η επιτυχία ενός δομημένου προγράμματος απαιτεί χρηματοδότηση για υποτροφίες ή μισθούς για υποψήφιους διδάκτορες και κατάλληλο ερευνητικό εξοπλισμό. Το ίδιο ισχύει και για τη διαχείριση του φυσικού χώρου όπου λειτουργούν τα προγράμματα και για τους νέους τύπους ερευνητικού περιβάλλοντος, ανοικτά γραφεία ή κέντρα που συμβάλλουν στη δημιουργία ερευνητικών κοινοτήτων χωρίς αποκλεισμούς. Η δυνατότητα συγκέντρωσης και διαχείρισης εξωτερικής χρηματοδότησης για υποτροφίες και μισθούς ενισχύει την ικανότητα των Ιδρυμάτων και των Τμημάτων να συμμετέχουν σε ευέλικτες στρατηγικές προσέλκυσης των καλύτερων υποψηφίων.</w:t>
            </w:r>
          </w:p>
          <w:p w14:paraId="065DB47C" w14:textId="77777777" w:rsidR="00090B18" w:rsidRPr="00090B18" w:rsidRDefault="00090B18" w:rsidP="00090B18">
            <w:pPr>
              <w:tabs>
                <w:tab w:val="left" w:pos="9356"/>
              </w:tabs>
              <w:spacing w:after="80"/>
              <w:jc w:val="both"/>
              <w:rPr>
                <w:rFonts w:ascii="Calibri" w:hAnsi="Calibri" w:cs="Calibri"/>
                <w:color w:val="808080"/>
              </w:rPr>
            </w:pPr>
          </w:p>
        </w:tc>
      </w:tr>
    </w:tbl>
    <w:p w14:paraId="15F487B7" w14:textId="77777777" w:rsidR="00802B5F" w:rsidRDefault="003B64EE" w:rsidP="00802B5F">
      <w:pPr>
        <w:spacing w:line="259" w:lineRule="auto"/>
        <w:jc w:val="both"/>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6107258F" w14:textId="77777777" w:rsidR="00802B5F" w:rsidRDefault="00802B5F" w:rsidP="00802B5F">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6A38D3FC" w14:textId="77777777" w:rsidR="00090B18" w:rsidRPr="00090B18" w:rsidRDefault="00090B18" w:rsidP="00090B18">
      <w:pPr>
        <w:spacing w:after="160" w:line="259" w:lineRule="auto"/>
        <w:rPr>
          <w:rFonts w:ascii="Calibri" w:eastAsia="SimSun" w:hAnsi="Calibri" w:cs="Calibri"/>
          <w:b/>
          <w:sz w:val="22"/>
          <w:szCs w:val="22"/>
          <w:u w:val="single"/>
          <w:lang w:eastAsia="el-GR"/>
        </w:rPr>
      </w:pPr>
    </w:p>
    <w:p w14:paraId="2129601D" w14:textId="77777777" w:rsidR="00333527" w:rsidRPr="00562F95" w:rsidRDefault="00802B5F" w:rsidP="00802B5F">
      <w:pPr>
        <w:tabs>
          <w:tab w:val="left" w:pos="9356"/>
        </w:tabs>
        <w:spacing w:after="60" w:line="259" w:lineRule="auto"/>
        <w:jc w:val="both"/>
        <w:rPr>
          <w:rFonts w:cstheme="minorHAnsi"/>
          <w:sz w:val="22"/>
          <w:szCs w:val="22"/>
        </w:rPr>
      </w:pPr>
      <w:r w:rsidRPr="00562F95">
        <w:rPr>
          <w:rFonts w:cstheme="minorHAnsi"/>
          <w:sz w:val="22"/>
          <w:szCs w:val="22"/>
        </w:rPr>
        <w:t xml:space="preserve">Δ4.1 </w:t>
      </w:r>
      <w:r w:rsidR="00333527" w:rsidRPr="00562F95">
        <w:rPr>
          <w:rFonts w:cstheme="minorHAnsi"/>
          <w:sz w:val="22"/>
          <w:szCs w:val="22"/>
        </w:rPr>
        <w:t>Αναλυτική περιγραφή των υποδομών και υπηρεσιών που διαθέτει το Ίδρυμα και η ακαδημαϊκή μονάδα για το ΠΔΣ σχετικά με</w:t>
      </w:r>
      <w:r w:rsidR="00781E78" w:rsidRPr="00562F95">
        <w:rPr>
          <w:rFonts w:cstheme="minorHAnsi"/>
          <w:sz w:val="22"/>
          <w:szCs w:val="22"/>
        </w:rPr>
        <w:t xml:space="preserve"> την υποστήριξη της ακαδημαϊκής</w:t>
      </w:r>
      <w:r w:rsidR="00333527" w:rsidRPr="00562F95">
        <w:rPr>
          <w:rFonts w:cstheme="minorHAnsi"/>
          <w:sz w:val="22"/>
          <w:szCs w:val="22"/>
        </w:rPr>
        <w:t xml:space="preserve"> και ερευνητικής δραστηριότητας (ανθρώπινο δυναμικό, εργαστήρια, ειδικός εξοπλισμός, κεντρικές υποδομές και ψηφιακά συστήματα, υπηρεσίες κ.λπ.)</w:t>
      </w:r>
    </w:p>
    <w:p w14:paraId="4B58EBC9" w14:textId="77777777" w:rsidR="00333527" w:rsidRPr="00562F95" w:rsidRDefault="00802B5F" w:rsidP="001F6BBE">
      <w:pPr>
        <w:tabs>
          <w:tab w:val="left" w:pos="9356"/>
        </w:tabs>
        <w:spacing w:after="60" w:line="259" w:lineRule="auto"/>
        <w:jc w:val="both"/>
        <w:rPr>
          <w:rFonts w:eastAsia="SimSun" w:cs="Calibri"/>
          <w:b/>
          <w:sz w:val="22"/>
          <w:szCs w:val="22"/>
          <w:u w:val="single"/>
          <w:lang w:eastAsia="el-GR"/>
        </w:rPr>
      </w:pPr>
      <w:r w:rsidRPr="00562F95">
        <w:rPr>
          <w:rFonts w:cstheme="minorHAnsi"/>
          <w:sz w:val="22"/>
          <w:szCs w:val="22"/>
        </w:rPr>
        <w:t xml:space="preserve">Δ4.2 </w:t>
      </w:r>
      <w:r w:rsidR="00333527" w:rsidRPr="00562F95">
        <w:rPr>
          <w:rFonts w:cstheme="minorHAnsi"/>
          <w:sz w:val="22"/>
          <w:szCs w:val="22"/>
        </w:rPr>
        <w:t>Πολιτική και καλές πρακτικές της ακαδημαϊκής μονάδας για τη χρηματοδό</w:t>
      </w:r>
      <w:r w:rsidR="002767B9" w:rsidRPr="00562F95">
        <w:rPr>
          <w:rFonts w:cstheme="minorHAnsi"/>
          <w:sz w:val="22"/>
          <w:szCs w:val="22"/>
        </w:rPr>
        <w:t>τηση των διδακτορικών σπουδών</w:t>
      </w:r>
    </w:p>
    <w:p w14:paraId="2D5A6127" w14:textId="77777777" w:rsidR="00EF2054" w:rsidRDefault="00EF2054" w:rsidP="00AF1CE0">
      <w:pPr>
        <w:tabs>
          <w:tab w:val="left" w:pos="3900"/>
        </w:tabs>
        <w:rPr>
          <w:rFonts w:cstheme="minorHAnsi"/>
        </w:rPr>
      </w:pPr>
    </w:p>
    <w:p w14:paraId="7F4DD48E" w14:textId="77777777" w:rsidR="00532990" w:rsidRDefault="00532990">
      <w:pPr>
        <w:rPr>
          <w:rFonts w:cstheme="minorHAnsi"/>
        </w:rPr>
      </w:pPr>
    </w:p>
    <w:p w14:paraId="67E03F0C" w14:textId="77777777" w:rsidR="00EF2054" w:rsidRDefault="00EF2054">
      <w:pPr>
        <w:rPr>
          <w:rFonts w:cstheme="minorHAnsi"/>
        </w:rPr>
      </w:pPr>
      <w:r>
        <w:rPr>
          <w:rFonts w:cstheme="minorHAnsi"/>
        </w:rPr>
        <w:br w:type="page"/>
      </w:r>
    </w:p>
    <w:p w14:paraId="20DFAC1E" w14:textId="77777777" w:rsidR="00333527" w:rsidRPr="00333527" w:rsidRDefault="00333527" w:rsidP="00333527">
      <w:pPr>
        <w:pStyle w:val="10"/>
        <w:numPr>
          <w:ilvl w:val="0"/>
          <w:numId w:val="12"/>
        </w:numPr>
        <w:tabs>
          <w:tab w:val="clear" w:pos="9356"/>
        </w:tabs>
        <w:ind w:left="426" w:hanging="426"/>
        <w:rPr>
          <w:rFonts w:ascii="Calibri" w:hAnsi="Calibri"/>
          <w:sz w:val="26"/>
          <w:szCs w:val="26"/>
        </w:rPr>
      </w:pPr>
      <w:bookmarkStart w:id="14" w:name="_Toc469405380"/>
      <w:bookmarkStart w:id="15" w:name="_Toc86947931"/>
      <w:bookmarkStart w:id="16" w:name="_Toc108530252"/>
      <w:bookmarkStart w:id="17" w:name="_Toc140842667"/>
      <w:bookmarkStart w:id="18" w:name="_Toc142386243"/>
      <w:bookmarkStart w:id="19" w:name="_Toc469405379"/>
      <w:r w:rsidRPr="00333527">
        <w:rPr>
          <w:rFonts w:ascii="Calibri" w:hAnsi="Calibri"/>
          <w:sz w:val="26"/>
          <w:szCs w:val="26"/>
        </w:rPr>
        <w:lastRenderedPageBreak/>
        <w:t>Διαχείριση πληροφοριών</w:t>
      </w:r>
      <w:bookmarkEnd w:id="14"/>
      <w:bookmarkEnd w:id="15"/>
      <w:bookmarkEnd w:id="16"/>
      <w:bookmarkEnd w:id="17"/>
      <w:bookmarkEnd w:id="18"/>
    </w:p>
    <w:p w14:paraId="3FDABEEF" w14:textId="77777777" w:rsidR="00EF2054" w:rsidRPr="00EF2054" w:rsidRDefault="00EF2054" w:rsidP="00EF2054">
      <w:pPr>
        <w:tabs>
          <w:tab w:val="left" w:pos="9356"/>
        </w:tabs>
        <w:spacing w:after="160" w:line="259" w:lineRule="auto"/>
        <w:jc w:val="both"/>
        <w:rPr>
          <w:rFonts w:ascii="Calibri" w:eastAsia="SimSun" w:hAnsi="Calibri" w:cs="Calibri"/>
          <w:b/>
          <w:smallCaps/>
          <w:sz w:val="26"/>
          <w:szCs w:val="26"/>
          <w:lang w:eastAsia="el-GR"/>
        </w:rPr>
      </w:pPr>
      <w:r w:rsidRPr="00EF2054">
        <w:rPr>
          <w:rFonts w:ascii="Calibri" w:eastAsia="SimSun" w:hAnsi="Calibri" w:cs="Calibri"/>
          <w:b/>
          <w:smallCaps/>
          <w:sz w:val="26"/>
          <w:szCs w:val="26"/>
          <w:lang w:eastAsia="el-GR"/>
        </w:rPr>
        <w:t xml:space="preserve">Τα </w:t>
      </w:r>
      <w:r w:rsidR="00333527" w:rsidRPr="00333527">
        <w:rPr>
          <w:rFonts w:ascii="Calibri" w:eastAsia="SimSun" w:hAnsi="Calibri" w:cs="Calibri"/>
          <w:b/>
          <w:smallCaps/>
          <w:sz w:val="26"/>
          <w:szCs w:val="26"/>
          <w:lang w:eastAsia="el-GR"/>
        </w:rPr>
        <w:t>ΑΕΙ έχουν την πλήρη ευθύνη για τη συλλογή, ανάλυση και χρήση πληροφοριών, με σκοπό την αποτελεσματική διεξαγωγή των διδακτορικών σπουδών και έρευνας καθώς και των συναφών δραστηριοτήτων, με τρόπο ενιαίο, λειτουργικό και άμεσα προσβάσιμο.</w:t>
      </w:r>
    </w:p>
    <w:tbl>
      <w:tblPr>
        <w:tblStyle w:val="5"/>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F2054" w:rsidRPr="00EF2054" w14:paraId="3FE398A8" w14:textId="77777777" w:rsidTr="00EF2054">
        <w:tc>
          <w:tcPr>
            <w:tcW w:w="9340" w:type="dxa"/>
          </w:tcPr>
          <w:bookmarkEnd w:id="19"/>
          <w:p w14:paraId="45DBADF7" w14:textId="77777777" w:rsidR="00333527" w:rsidRPr="00333527" w:rsidRDefault="00333527" w:rsidP="00333527">
            <w:pPr>
              <w:spacing w:before="240"/>
              <w:jc w:val="both"/>
              <w:rPr>
                <w:rFonts w:asciiTheme="majorHAnsi" w:hAnsiTheme="majorHAnsi" w:cstheme="majorHAnsi"/>
                <w:i/>
                <w:noProof/>
              </w:rPr>
            </w:pPr>
            <w:r w:rsidRPr="00333527">
              <w:rPr>
                <w:rFonts w:asciiTheme="majorHAnsi" w:hAnsiTheme="majorHAnsi" w:cstheme="majorHAnsi"/>
                <w:i/>
                <w:noProof/>
              </w:rPr>
              <w:t>Τα ΑΕΙ θα πρέπει να έχουν εγκαταστήσει και να λειτουργούν πληροφοριακό σύστημα, μέσω του οποίου να γίνεται η παρακολούθηση των δεδομένων των ΠΔΣ, των υποψηφίων διδακτόρων, της προόδου των σπουδών και της διατριβής, τα δεδομένα των επιστημονικών δημοσιεύσεων των υποψηφίων, του διδακτικού προσωπικού, της δομής και οργάνωσης των μαθημάτων.</w:t>
            </w:r>
          </w:p>
          <w:p w14:paraId="17ADC017" w14:textId="77777777" w:rsidR="00333527" w:rsidRPr="00333527" w:rsidRDefault="00333527" w:rsidP="00333527">
            <w:pPr>
              <w:jc w:val="both"/>
              <w:rPr>
                <w:rFonts w:asciiTheme="majorHAnsi" w:hAnsiTheme="majorHAnsi" w:cstheme="majorHAnsi"/>
                <w:i/>
              </w:rPr>
            </w:pPr>
            <w:r w:rsidRPr="00333527">
              <w:rPr>
                <w:rFonts w:asciiTheme="majorHAnsi" w:hAnsiTheme="majorHAnsi" w:cstheme="majorHAnsi"/>
                <w:i/>
              </w:rPr>
              <w:t>Οι ακαδημαϊκές μονάδες διακινούν και συλλέγουν ερωτηματολόγια ικανοποίησης των διδακτορικών φοιτητών για τις σπουδές, τις διαδικασίες επίβλεψης και συμβουλευτικής, το μαθησιακό περιβάλλον και τις υπηρεσίες.</w:t>
            </w:r>
          </w:p>
          <w:p w14:paraId="7FAEE048" w14:textId="77777777" w:rsidR="00333527" w:rsidRPr="00333527" w:rsidRDefault="00333527" w:rsidP="00333527">
            <w:pPr>
              <w:jc w:val="both"/>
              <w:rPr>
                <w:rFonts w:asciiTheme="majorHAnsi" w:hAnsiTheme="majorHAnsi" w:cstheme="majorHAnsi"/>
                <w:i/>
                <w:noProof/>
              </w:rPr>
            </w:pPr>
            <w:r w:rsidRPr="00333527">
              <w:rPr>
                <w:rFonts w:asciiTheme="majorHAnsi" w:hAnsiTheme="majorHAnsi" w:cstheme="majorHAnsi"/>
                <w:i/>
                <w:noProof/>
              </w:rPr>
              <w:t>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διδακτορικών σπουδών και άλλες δραστηριότητες έρευνας, τροφοδοτούν με στοιχεία το Εσωτερικό Σύστημα Διασφάλισης Ποιότητας (ΕΣΔΠ).</w:t>
            </w:r>
          </w:p>
          <w:p w14:paraId="72DF379E" w14:textId="77777777" w:rsidR="00333527" w:rsidRPr="00333527" w:rsidRDefault="00333527" w:rsidP="00333527">
            <w:pPr>
              <w:spacing w:before="120"/>
              <w:jc w:val="both"/>
              <w:rPr>
                <w:rFonts w:asciiTheme="majorHAnsi" w:hAnsiTheme="majorHAnsi" w:cstheme="majorHAnsi"/>
                <w:i/>
                <w:noProof/>
              </w:rPr>
            </w:pPr>
            <w:r w:rsidRPr="00333527">
              <w:rPr>
                <w:rFonts w:asciiTheme="majorHAnsi" w:hAnsiTheme="majorHAnsi" w:cstheme="majorHAnsi"/>
                <w:i/>
                <w:noProof/>
              </w:rPr>
              <w:t>Ενδιαφέρον παρουσιάζουν:</w:t>
            </w:r>
          </w:p>
          <w:p w14:paraId="7865A633" w14:textId="77777777" w:rsidR="00333527" w:rsidRPr="00333527" w:rsidRDefault="00333527" w:rsidP="00333527">
            <w:pPr>
              <w:pStyle w:val="ListParagraph"/>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οι βασικοί δείκτες επιδόσεων των υποψηφίων διδακτόρων</w:t>
            </w:r>
          </w:p>
          <w:p w14:paraId="6EA5F1D4" w14:textId="77777777" w:rsidR="00333527" w:rsidRPr="00333527" w:rsidRDefault="00333527" w:rsidP="00333527">
            <w:pPr>
              <w:pStyle w:val="ListParagraph"/>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πορεία φοίτησης, η πρόοδος και ο χρόνος ολοκλήρωσης των σπουδών, επιτυχίες ή και ποσοστά εγκατάλειψης των σπουδών</w:t>
            </w:r>
          </w:p>
          <w:p w14:paraId="6F3B433B" w14:textId="77777777" w:rsidR="00333527" w:rsidRPr="00333527" w:rsidRDefault="00333527" w:rsidP="00333527">
            <w:pPr>
              <w:pStyle w:val="ListParagraph"/>
              <w:numPr>
                <w:ilvl w:val="0"/>
                <w:numId w:val="18"/>
              </w:numPr>
              <w:spacing w:after="0" w:line="259" w:lineRule="auto"/>
              <w:ind w:left="567" w:hanging="425"/>
              <w:contextualSpacing w:val="0"/>
              <w:jc w:val="both"/>
              <w:rPr>
                <w:rFonts w:asciiTheme="majorHAnsi" w:hAnsiTheme="majorHAnsi" w:cstheme="majorHAnsi"/>
                <w:i/>
                <w:noProof/>
                <w:lang w:val="el-GR"/>
              </w:rPr>
            </w:pPr>
            <w:r w:rsidRPr="00333527">
              <w:rPr>
                <w:rFonts w:asciiTheme="majorHAnsi" w:hAnsiTheme="majorHAnsi" w:cstheme="majorHAnsi"/>
                <w:i/>
                <w:noProof/>
                <w:lang w:val="el-GR"/>
              </w:rPr>
              <w:t>η ικανοποίηση των διδακτορικών φοιτητών από το πρόγραμμα, τη συμβουλευτική, τις διαδικασίες επίβλεψης, τη διαθεσιμότητα των πόρων και τις υπηρεσίες υποστήριξης</w:t>
            </w:r>
          </w:p>
          <w:p w14:paraId="4F8F19F4" w14:textId="77777777" w:rsidR="00EF2054" w:rsidRPr="00EF2054" w:rsidRDefault="00EF2054" w:rsidP="00EF2054">
            <w:pPr>
              <w:spacing w:after="80"/>
              <w:jc w:val="both"/>
              <w:rPr>
                <w:rFonts w:asciiTheme="majorHAnsi" w:hAnsiTheme="majorHAnsi" w:cstheme="majorHAnsi"/>
                <w:i/>
                <w:color w:val="000000" w:themeColor="text1"/>
              </w:rPr>
            </w:pPr>
          </w:p>
        </w:tc>
      </w:tr>
    </w:tbl>
    <w:p w14:paraId="196437E8" w14:textId="77777777" w:rsidR="00EF2054" w:rsidRPr="00EF2054" w:rsidRDefault="00EF2054" w:rsidP="00EF2054">
      <w:pPr>
        <w:tabs>
          <w:tab w:val="left" w:pos="9356"/>
        </w:tabs>
        <w:spacing w:after="120" w:line="259" w:lineRule="auto"/>
        <w:jc w:val="both"/>
        <w:rPr>
          <w:rFonts w:ascii="Calibri" w:eastAsia="SimSun" w:hAnsi="Calibri" w:cs="Calibri"/>
          <w:b/>
          <w:smallCaps/>
          <w:color w:val="1B587C"/>
          <w:u w:val="single"/>
          <w:lang w:eastAsia="el-GR"/>
        </w:rPr>
      </w:pPr>
    </w:p>
    <w:p w14:paraId="34C16EB6" w14:textId="77777777" w:rsidR="00780EEF" w:rsidRDefault="00780EEF" w:rsidP="00AF1CE0">
      <w:pPr>
        <w:tabs>
          <w:tab w:val="left" w:pos="3900"/>
        </w:tabs>
        <w:rPr>
          <w:rFonts w:cstheme="minorHAnsi"/>
        </w:rPr>
      </w:pPr>
    </w:p>
    <w:p w14:paraId="7BC11521"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39548B19" w14:textId="77777777" w:rsidR="00D078DA" w:rsidRDefault="00D078DA">
      <w:pPr>
        <w:rPr>
          <w:rFonts w:cstheme="minorHAnsi"/>
        </w:rPr>
      </w:pPr>
    </w:p>
    <w:p w14:paraId="7B691E83" w14:textId="77777777" w:rsidR="00D078DA" w:rsidRPr="00562F95" w:rsidRDefault="00D078DA" w:rsidP="00562F95">
      <w:pPr>
        <w:spacing w:after="60" w:line="259" w:lineRule="auto"/>
        <w:ind w:left="426" w:hanging="426"/>
        <w:jc w:val="both"/>
        <w:rPr>
          <w:rFonts w:cstheme="minorHAnsi"/>
          <w:sz w:val="22"/>
          <w:szCs w:val="22"/>
        </w:rPr>
      </w:pPr>
      <w:r w:rsidRPr="00562F95">
        <w:rPr>
          <w:rFonts w:cstheme="minorHAnsi"/>
          <w:sz w:val="22"/>
          <w:szCs w:val="22"/>
        </w:rPr>
        <w:t>Δ5</w:t>
      </w:r>
      <w:r w:rsidR="000D7C55" w:rsidRPr="00562F95">
        <w:rPr>
          <w:rFonts w:cstheme="minorHAnsi"/>
          <w:sz w:val="22"/>
          <w:szCs w:val="22"/>
        </w:rPr>
        <w:t xml:space="preserve">.1 </w:t>
      </w:r>
      <w:r w:rsidRPr="00562F95">
        <w:rPr>
          <w:rFonts w:cstheme="minorHAnsi"/>
          <w:sz w:val="22"/>
          <w:szCs w:val="22"/>
        </w:rPr>
        <w:t xml:space="preserve">Αναφορά δεδομένων από το Ολοκληρωμένο Πληροφοριακό Εθνικό Σύστημα Ποιότητας (ΟΠΕΣΠ) </w:t>
      </w:r>
    </w:p>
    <w:p w14:paraId="0AC47F07" w14:textId="77777777" w:rsidR="00F84C6A" w:rsidRPr="00562F95" w:rsidRDefault="00F84C6A" w:rsidP="00562F95">
      <w:pPr>
        <w:spacing w:after="60" w:line="259" w:lineRule="auto"/>
        <w:jc w:val="both"/>
        <w:rPr>
          <w:rFonts w:cstheme="minorHAnsi"/>
          <w:sz w:val="22"/>
          <w:szCs w:val="22"/>
        </w:rPr>
      </w:pPr>
      <w:r w:rsidRPr="00562F95">
        <w:rPr>
          <w:rFonts w:cstheme="minorHAnsi"/>
          <w:sz w:val="22"/>
          <w:szCs w:val="22"/>
        </w:rPr>
        <w:t>Δ5.2 Κατάλογος διδακτορικών διατριβών που έχουν εκπονηθεί στο Τμήμα την τελευταία πενταετία</w:t>
      </w:r>
    </w:p>
    <w:p w14:paraId="2F49F7B3" w14:textId="77777777" w:rsidR="00440441" w:rsidRPr="00562F95" w:rsidRDefault="00392D17" w:rsidP="00562F95">
      <w:pPr>
        <w:spacing w:after="60" w:line="259" w:lineRule="auto"/>
        <w:jc w:val="both"/>
        <w:rPr>
          <w:rFonts w:cstheme="minorHAnsi"/>
          <w:sz w:val="22"/>
          <w:szCs w:val="22"/>
        </w:rPr>
      </w:pPr>
      <w:r w:rsidRPr="00562F95">
        <w:rPr>
          <w:rFonts w:cstheme="minorHAnsi"/>
          <w:sz w:val="22"/>
          <w:szCs w:val="22"/>
        </w:rPr>
        <w:t xml:space="preserve">Δ5.3 </w:t>
      </w:r>
      <w:r w:rsidR="00440441" w:rsidRPr="00562F95">
        <w:rPr>
          <w:rFonts w:cstheme="minorHAnsi"/>
          <w:sz w:val="22"/>
          <w:szCs w:val="22"/>
        </w:rPr>
        <w:t>Λειτουργία πληροφοριακού συστήματος για τη συλλογή διοικητικών δεδομένων εφαρμογής του ΠΔΣ (φοιτητολόγιο), και 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ΠΔΣ</w:t>
      </w:r>
    </w:p>
    <w:p w14:paraId="43B064CB" w14:textId="77777777" w:rsidR="00440441" w:rsidRPr="00562F95" w:rsidRDefault="00440441" w:rsidP="00562F95">
      <w:pPr>
        <w:spacing w:after="60" w:line="259" w:lineRule="auto"/>
        <w:jc w:val="both"/>
        <w:rPr>
          <w:rFonts w:cstheme="minorHAnsi"/>
          <w:sz w:val="22"/>
          <w:szCs w:val="22"/>
        </w:rPr>
      </w:pPr>
    </w:p>
    <w:p w14:paraId="6117A69F" w14:textId="77777777" w:rsidR="00780EEF" w:rsidRDefault="00780EEF">
      <w:pPr>
        <w:rPr>
          <w:rFonts w:cstheme="minorHAnsi"/>
        </w:rPr>
      </w:pPr>
      <w:r>
        <w:rPr>
          <w:rFonts w:cstheme="minorHAnsi"/>
        </w:rPr>
        <w:br w:type="page"/>
      </w:r>
    </w:p>
    <w:p w14:paraId="63600AA9" w14:textId="77777777" w:rsidR="00E73399" w:rsidRPr="002F30A7" w:rsidRDefault="002F30A7" w:rsidP="002F30A7">
      <w:pPr>
        <w:keepNext/>
        <w:keepLines/>
        <w:tabs>
          <w:tab w:val="left" w:pos="567"/>
          <w:tab w:val="left" w:pos="9356"/>
        </w:tabs>
        <w:spacing w:before="120" w:after="120" w:line="259" w:lineRule="auto"/>
        <w:jc w:val="both"/>
        <w:outlineLvl w:val="0"/>
        <w:rPr>
          <w:rFonts w:eastAsia="SimSun" w:cs="Calibri"/>
          <w:b/>
          <w:bCs/>
          <w:smallCaps/>
          <w:sz w:val="26"/>
          <w:szCs w:val="26"/>
          <w:lang w:eastAsia="el-GR"/>
        </w:rPr>
      </w:pPr>
      <w:bookmarkStart w:id="20" w:name="_Toc142386244"/>
      <w:r>
        <w:rPr>
          <w:rFonts w:eastAsia="SimSun" w:cs="Calibri"/>
          <w:b/>
          <w:bCs/>
          <w:smallCaps/>
          <w:sz w:val="26"/>
          <w:szCs w:val="26"/>
          <w:lang w:eastAsia="el-GR"/>
        </w:rPr>
        <w:lastRenderedPageBreak/>
        <w:t xml:space="preserve">6. </w:t>
      </w:r>
      <w:r w:rsidRPr="002F30A7">
        <w:rPr>
          <w:rFonts w:eastAsia="SimSun" w:cs="Calibri"/>
          <w:b/>
          <w:bCs/>
          <w:smallCaps/>
          <w:sz w:val="26"/>
          <w:szCs w:val="26"/>
          <w:lang w:eastAsia="el-GR"/>
        </w:rPr>
        <w:t xml:space="preserve">Δημόσια </w:t>
      </w:r>
      <w:r w:rsidRPr="002F30A7">
        <w:rPr>
          <w:rFonts w:eastAsia="Malgun Gothic" w:cs="Calibri"/>
          <w:b/>
          <w:bCs/>
          <w:smallCaps/>
          <w:color w:val="000000"/>
          <w:sz w:val="26"/>
          <w:szCs w:val="26"/>
          <w:lang w:eastAsia="el-GR"/>
        </w:rPr>
        <w:t>πληροφόρηση για τα Προγράμματα Διδακτορικών Σπουδών</w:t>
      </w:r>
      <w:bookmarkEnd w:id="20"/>
    </w:p>
    <w:p w14:paraId="7685DA9F" w14:textId="77777777" w:rsidR="00E73399" w:rsidRPr="00E73399" w:rsidRDefault="00E73399" w:rsidP="00E73399">
      <w:pPr>
        <w:tabs>
          <w:tab w:val="left" w:pos="9356"/>
        </w:tabs>
        <w:spacing w:after="160" w:line="259" w:lineRule="auto"/>
        <w:jc w:val="both"/>
        <w:rPr>
          <w:rFonts w:ascii="Calibri" w:eastAsia="SimSun" w:hAnsi="Calibri" w:cs="Calibri"/>
          <w:b/>
          <w:smallCaps/>
          <w:sz w:val="26"/>
          <w:szCs w:val="26"/>
          <w:lang w:eastAsia="el-GR"/>
        </w:rPr>
      </w:pPr>
      <w:r w:rsidRPr="00E73399">
        <w:rPr>
          <w:rFonts w:ascii="Calibri" w:eastAsia="SimSun" w:hAnsi="Calibri" w:cs="Calibri"/>
          <w:b/>
          <w:smallCaps/>
          <w:sz w:val="26"/>
          <w:szCs w:val="26"/>
          <w:lang w:eastAsia="el-GR"/>
        </w:rPr>
        <w:t xml:space="preserve">Τα ΑΕΙ </w:t>
      </w:r>
      <w:r w:rsidR="002F30A7" w:rsidRPr="002F30A7">
        <w:rPr>
          <w:rFonts w:ascii="Calibri" w:eastAsia="SimSun" w:hAnsi="Calibri" w:cs="Calibri"/>
          <w:b/>
          <w:smallCaps/>
          <w:sz w:val="26"/>
          <w:szCs w:val="26"/>
          <w:lang w:eastAsia="el-GR"/>
        </w:rPr>
        <w:t xml:space="preserve">είναι υποχρεωμένα να δημοσιοποιούν τις εκπαιδευτικές και ακαδημαϊκές τους δραστηριότητες που </w:t>
      </w:r>
      <w:r w:rsidR="00A353BD" w:rsidRPr="002F30A7">
        <w:rPr>
          <w:rFonts w:ascii="Calibri" w:eastAsia="SimSun" w:hAnsi="Calibri" w:cs="Calibri"/>
          <w:b/>
          <w:smallCaps/>
          <w:sz w:val="26"/>
          <w:szCs w:val="26"/>
          <w:lang w:eastAsia="el-GR"/>
        </w:rPr>
        <w:t>αφορούν</w:t>
      </w:r>
      <w:r w:rsidR="002F30A7" w:rsidRPr="002F30A7">
        <w:rPr>
          <w:rFonts w:ascii="Calibri" w:eastAsia="SimSun" w:hAnsi="Calibri" w:cs="Calibri"/>
          <w:b/>
          <w:smallCaps/>
          <w:sz w:val="26"/>
          <w:szCs w:val="26"/>
          <w:lang w:eastAsia="el-GR"/>
        </w:rPr>
        <w:t xml:space="preserve"> ΤΑ ΠΔΣ με άμεσο και προσβάσιμο τρόπο. Οι σχετικές πληροφορίες θα πρέπει να είναι επικαιροποιημένες και διατυπωμένες με αντικειμενικότητα και σαφήνεια.</w:t>
      </w:r>
    </w:p>
    <w:tbl>
      <w:tblPr>
        <w:tblStyle w:val="6"/>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E73399" w:rsidRPr="00E73399" w14:paraId="2B8056B4" w14:textId="77777777" w:rsidTr="00E73399">
        <w:tc>
          <w:tcPr>
            <w:tcW w:w="9340" w:type="dxa"/>
          </w:tcPr>
          <w:p w14:paraId="0820EED1" w14:textId="77777777" w:rsidR="002F30A7" w:rsidRPr="002F30A7" w:rsidRDefault="002F30A7" w:rsidP="002F30A7">
            <w:pPr>
              <w:spacing w:before="240" w:after="240"/>
              <w:jc w:val="both"/>
              <w:rPr>
                <w:rFonts w:asciiTheme="majorHAnsi" w:hAnsiTheme="majorHAnsi" w:cstheme="majorHAnsi"/>
                <w:i/>
                <w:noProof/>
              </w:rPr>
            </w:pPr>
            <w:r w:rsidRPr="002F30A7">
              <w:rPr>
                <w:rFonts w:asciiTheme="majorHAnsi" w:hAnsiTheme="majorHAnsi" w:cstheme="majorHAnsi"/>
                <w:i/>
                <w:noProof/>
              </w:rPr>
              <w:t>Οι πληροφορίες για τις δραστηριότητες του Ιδρύματος για τις διδακτορικές σπουδές είναι χρήσιμες για τους μελλοντικούς υποψηφίους αλλά και τους υφιστάμενους υποψήφιους διδάκτορες, όπως και άλλους ενδιαφερόμενους φορείς και το κοινό.</w:t>
            </w:r>
          </w:p>
          <w:p w14:paraId="72766E83" w14:textId="77777777" w:rsidR="002F30A7" w:rsidRPr="002F30A7" w:rsidRDefault="002F30A7" w:rsidP="002F30A7">
            <w:pPr>
              <w:jc w:val="both"/>
              <w:rPr>
                <w:rFonts w:asciiTheme="majorHAnsi" w:hAnsiTheme="majorHAnsi" w:cstheme="majorHAnsi"/>
                <w:i/>
                <w:noProof/>
              </w:rPr>
            </w:pPr>
            <w:r w:rsidRPr="002F30A7">
              <w:rPr>
                <w:rFonts w:asciiTheme="majorHAnsi" w:hAnsiTheme="majorHAnsi" w:cstheme="majorHAnsi"/>
                <w:i/>
                <w:noProof/>
              </w:rPr>
              <w:t>Συνεπώς, τα Ιδρύματα και οι ακαδημαϊκές τους μονάδες παρέχουν πληροφόρηση, μέσω των ιστοσελίδων τους, για τις διδακτορικές σπουδές και τις ερευνητικές δραστηριότητές τους, τους κανονισμούς, τα επιτεύγματα, την πρόοδο, τις εκπονηθείσες διατριβές</w:t>
            </w:r>
            <w:r w:rsidR="005E16C1">
              <w:rPr>
                <w:rFonts w:asciiTheme="majorHAnsi" w:hAnsiTheme="majorHAnsi" w:cstheme="majorHAnsi"/>
                <w:i/>
                <w:noProof/>
              </w:rPr>
              <w:t xml:space="preserve"> κατ’ έτος και αντικείμενο (ανάρτηση καταλόγου διατριβών στην ιστοσελίδα του αντίστοιχου Τμήματος)</w:t>
            </w:r>
            <w:r w:rsidRPr="002F30A7">
              <w:rPr>
                <w:rFonts w:asciiTheme="majorHAnsi" w:hAnsiTheme="majorHAnsi" w:cstheme="majorHAnsi"/>
                <w:i/>
                <w:noProof/>
              </w:rPr>
              <w:t>, τις εφαρμοζόμενες μαθησιακές διαδικασίες, την εσωτερική και εξωτερική αξιολόγηση και πιστοποίηση του προγράμματος, τις δυνατότητες απασχόλησης αποφοίτων/ διδακτόρων, τα ερευνητικά προγράμματα και τις ευκαιρίες χρηματοδότησης, τις υποτροφίες κλπ.</w:t>
            </w:r>
          </w:p>
          <w:p w14:paraId="447A8655" w14:textId="77777777" w:rsidR="00E73399" w:rsidRPr="00E73399" w:rsidRDefault="00E73399" w:rsidP="00E73399">
            <w:pPr>
              <w:tabs>
                <w:tab w:val="left" w:pos="9356"/>
              </w:tabs>
              <w:spacing w:before="120"/>
              <w:jc w:val="both"/>
              <w:rPr>
                <w:rFonts w:ascii="Calibri Light" w:hAnsi="Calibri Light" w:cs="Calibri Light"/>
                <w:i/>
                <w:color w:val="808080"/>
              </w:rPr>
            </w:pPr>
          </w:p>
        </w:tc>
      </w:tr>
    </w:tbl>
    <w:p w14:paraId="758AF979" w14:textId="77777777" w:rsidR="00E73399" w:rsidRPr="00E73399" w:rsidRDefault="00E73399" w:rsidP="00E73399">
      <w:pPr>
        <w:tabs>
          <w:tab w:val="left" w:pos="9356"/>
        </w:tabs>
        <w:spacing w:after="120" w:line="259" w:lineRule="auto"/>
        <w:jc w:val="both"/>
        <w:rPr>
          <w:rFonts w:ascii="Calibri" w:eastAsia="SimSun" w:hAnsi="Calibri" w:cs="Calibri"/>
          <w:b/>
          <w:smallCaps/>
          <w:u w:val="single"/>
          <w:lang w:eastAsia="el-GR"/>
        </w:rPr>
      </w:pPr>
    </w:p>
    <w:p w14:paraId="6F919F19" w14:textId="77777777" w:rsidR="00E73399" w:rsidRPr="00E73399" w:rsidRDefault="003B64EE" w:rsidP="00E73399">
      <w:pPr>
        <w:spacing w:after="160" w:line="259" w:lineRule="auto"/>
        <w:rPr>
          <w:rFonts w:ascii="Calibri" w:eastAsia="SimSun" w:hAnsi="Calibri" w:cs="Calibri"/>
          <w:b/>
          <w:sz w:val="22"/>
          <w:szCs w:val="22"/>
          <w:u w:val="single"/>
          <w:lang w:eastAsia="el-GR"/>
        </w:rPr>
      </w:pPr>
      <w:r>
        <w:rPr>
          <w:rFonts w:ascii="Calibri" w:eastAsia="SimSun" w:hAnsi="Calibri" w:cs="Calibri"/>
          <w:b/>
          <w:sz w:val="22"/>
          <w:szCs w:val="22"/>
          <w:u w:val="single"/>
          <w:lang w:eastAsia="el-GR"/>
        </w:rPr>
        <w:t xml:space="preserve"> </w:t>
      </w:r>
    </w:p>
    <w:p w14:paraId="409183EF"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297F396C" w14:textId="77777777" w:rsidR="00295E72" w:rsidRDefault="00295E72">
      <w:pPr>
        <w:rPr>
          <w:rFonts w:cstheme="minorHAnsi"/>
        </w:rPr>
      </w:pPr>
    </w:p>
    <w:p w14:paraId="10CAB6A9" w14:textId="77777777" w:rsidR="00295E72" w:rsidRPr="00423213" w:rsidRDefault="00295E72" w:rsidP="00295E72">
      <w:pPr>
        <w:spacing w:after="120" w:line="259" w:lineRule="auto"/>
        <w:jc w:val="both"/>
        <w:rPr>
          <w:rFonts w:cstheme="minorHAnsi"/>
          <w:sz w:val="22"/>
          <w:szCs w:val="22"/>
        </w:rPr>
      </w:pPr>
      <w:r>
        <w:rPr>
          <w:rFonts w:cstheme="minorHAnsi"/>
          <w:sz w:val="22"/>
          <w:szCs w:val="22"/>
        </w:rPr>
        <w:t>Δ6.1</w:t>
      </w:r>
      <w:r w:rsidRPr="00423213">
        <w:rPr>
          <w:rFonts w:cstheme="minorHAnsi"/>
          <w:sz w:val="22"/>
          <w:szCs w:val="22"/>
        </w:rPr>
        <w:t xml:space="preserve"> Διαδικασία συντήρησης και ανανέωσης/ενημέρωσης της ιστοσελίδας του ΠΔΣ</w:t>
      </w:r>
    </w:p>
    <w:p w14:paraId="4BCE1D61" w14:textId="77777777" w:rsidR="009E5006" w:rsidRDefault="009E5006">
      <w:pPr>
        <w:rPr>
          <w:rFonts w:cstheme="minorHAnsi"/>
        </w:rPr>
      </w:pPr>
      <w:r>
        <w:rPr>
          <w:rFonts w:cstheme="minorHAnsi"/>
        </w:rPr>
        <w:br w:type="page"/>
      </w:r>
    </w:p>
    <w:p w14:paraId="3D49DD9E" w14:textId="77777777" w:rsidR="009E5006" w:rsidRPr="00852CFA" w:rsidRDefault="00852CFA" w:rsidP="00852CFA">
      <w:pPr>
        <w:pStyle w:val="10"/>
        <w:numPr>
          <w:ilvl w:val="0"/>
          <w:numId w:val="21"/>
        </w:numPr>
        <w:tabs>
          <w:tab w:val="clear" w:pos="9356"/>
        </w:tabs>
        <w:rPr>
          <w:rFonts w:ascii="Calibri" w:hAnsi="Calibri"/>
          <w:sz w:val="26"/>
          <w:szCs w:val="26"/>
        </w:rPr>
      </w:pPr>
      <w:bookmarkStart w:id="21" w:name="_Toc469405384"/>
      <w:bookmarkStart w:id="22" w:name="_Toc86947933"/>
      <w:bookmarkStart w:id="23" w:name="_Toc108530254"/>
      <w:bookmarkStart w:id="24" w:name="_Toc140842669"/>
      <w:bookmarkStart w:id="25" w:name="_Toc142386245"/>
      <w:bookmarkStart w:id="26" w:name="_Toc469405383"/>
      <w:r w:rsidRPr="00852CFA">
        <w:rPr>
          <w:rFonts w:ascii="Calibri" w:hAnsi="Calibri"/>
          <w:sz w:val="26"/>
          <w:szCs w:val="26"/>
        </w:rPr>
        <w:lastRenderedPageBreak/>
        <w:t>Συνεχής παρακολούθηση και περιοδική εσωτερική αξιολόγηση των Προγραμμάτων Διδακτορικών Σπουδών</w:t>
      </w:r>
      <w:bookmarkEnd w:id="21"/>
      <w:bookmarkEnd w:id="22"/>
      <w:bookmarkEnd w:id="23"/>
      <w:bookmarkEnd w:id="24"/>
      <w:bookmarkEnd w:id="25"/>
    </w:p>
    <w:p w14:paraId="55C7C5E5" w14:textId="77777777" w:rsidR="00852CFA" w:rsidRPr="00852CFA" w:rsidRDefault="009E5006" w:rsidP="00852CFA">
      <w:pPr>
        <w:tabs>
          <w:tab w:val="left" w:pos="9356"/>
        </w:tabs>
        <w:spacing w:after="160" w:line="259" w:lineRule="auto"/>
        <w:jc w:val="both"/>
        <w:rPr>
          <w:rFonts w:ascii="Calibri" w:eastAsia="SimSun" w:hAnsi="Calibri" w:cs="Calibri"/>
          <w:b/>
          <w:bCs/>
          <w:smallCaps/>
          <w:sz w:val="26"/>
          <w:szCs w:val="26"/>
          <w:lang w:eastAsia="el-GR"/>
        </w:rPr>
      </w:pPr>
      <w:r w:rsidRPr="009E5006">
        <w:rPr>
          <w:rFonts w:ascii="Calibri" w:eastAsia="SimSun" w:hAnsi="Calibri" w:cs="Calibri"/>
          <w:b/>
          <w:smallCaps/>
          <w:sz w:val="26"/>
          <w:szCs w:val="26"/>
          <w:lang w:eastAsia="el-GR"/>
        </w:rPr>
        <w:t xml:space="preserve">Τα ΑΕΙ </w:t>
      </w:r>
      <w:r w:rsidR="00852CFA" w:rsidRPr="00852CFA">
        <w:rPr>
          <w:rFonts w:ascii="Calibri" w:eastAsia="SimSun" w:hAnsi="Calibri" w:cs="Calibri"/>
          <w:b/>
          <w:bCs/>
          <w:smallCaps/>
          <w:sz w:val="26"/>
          <w:szCs w:val="26"/>
          <w:lang w:eastAsia="el-GR"/>
        </w:rPr>
        <w:t>και οι ακαδημαϊκές μονάδες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Προγραμμάτων Διδακτορικών Σπουδών τους, έτσι ώστε, μέσω της παρακολούθησης και των ενδεχόμενων διορθώσεων, να επιτυγχάνονται οι στόχοι που έχουν οριστεί, με τελικό αποτέλεσμα τη συνεχή βελτίωσή τους. Στο πλαίσιο των ανωτέρω δράσεων είναι αναγκαία η ενημέρωση όλων των ενδιαφερομένων μερών.</w:t>
      </w: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9E5006" w:rsidRPr="009E5006" w14:paraId="3C3EC610" w14:textId="77777777" w:rsidTr="00852CFA">
        <w:tc>
          <w:tcPr>
            <w:tcW w:w="9044" w:type="dxa"/>
          </w:tcPr>
          <w:bookmarkEnd w:id="26"/>
          <w:p w14:paraId="6BFFD7AD" w14:textId="77777777" w:rsidR="00537842" w:rsidRPr="00537842" w:rsidRDefault="00537842" w:rsidP="00537842">
            <w:pPr>
              <w:spacing w:before="240"/>
              <w:jc w:val="both"/>
              <w:rPr>
                <w:rFonts w:asciiTheme="majorHAnsi" w:hAnsiTheme="majorHAnsi" w:cstheme="majorHAnsi"/>
                <w:i/>
                <w:noProof/>
              </w:rPr>
            </w:pPr>
            <w:r w:rsidRPr="00537842">
              <w:rPr>
                <w:rFonts w:asciiTheme="majorHAnsi" w:hAnsiTheme="majorHAnsi" w:cstheme="majorHAnsi"/>
                <w:i/>
                <w:noProof/>
              </w:rPr>
              <w:t>Η τακτική παρακολούθηση, ο έλεγχος και αναθεώρηση των Προγραμμάτων Διδακτορικών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διδακτορικούς φοιτητές.</w:t>
            </w:r>
          </w:p>
          <w:p w14:paraId="510200DB"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Στα ανωτέρω συμπεριλαμβάνεται η αξιολόγηση:</w:t>
            </w:r>
          </w:p>
          <w:p w14:paraId="54E7B8E2" w14:textId="77777777" w:rsidR="00537842" w:rsidRPr="00537842" w:rsidRDefault="00537842" w:rsidP="00537842">
            <w:pPr>
              <w:pStyle w:val="ListParagraph"/>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ΠΔΣ</w:t>
            </w:r>
          </w:p>
          <w:p w14:paraId="58ACA272" w14:textId="77777777" w:rsidR="00537842" w:rsidRPr="00537842" w:rsidRDefault="00537842" w:rsidP="00537842">
            <w:pPr>
              <w:pStyle w:val="ListParagraph"/>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μεταβαλλόμενων αναγκών της κοινωνίας και της αγοράς</w:t>
            </w:r>
            <w:r w:rsidRPr="00537842">
              <w:rPr>
                <w:rFonts w:asciiTheme="majorHAnsi" w:hAnsiTheme="majorHAnsi" w:cstheme="majorHAnsi"/>
                <w:i/>
                <w:noProof/>
                <w:color w:val="FF0000"/>
                <w:lang w:val="el-GR"/>
              </w:rPr>
              <w:t xml:space="preserve"> </w:t>
            </w:r>
            <w:r w:rsidRPr="00537842">
              <w:rPr>
                <w:rFonts w:asciiTheme="majorHAnsi" w:hAnsiTheme="majorHAnsi" w:cstheme="majorHAnsi"/>
                <w:i/>
                <w:noProof/>
                <w:lang w:val="el-GR"/>
              </w:rPr>
              <w:t>εργασίας</w:t>
            </w:r>
          </w:p>
          <w:p w14:paraId="71E0E247" w14:textId="77777777" w:rsidR="00537842" w:rsidRPr="00537842" w:rsidRDefault="00537842" w:rsidP="00537842">
            <w:pPr>
              <w:pStyle w:val="ListParagraph"/>
              <w:numPr>
                <w:ilvl w:val="0"/>
                <w:numId w:val="22"/>
              </w:numPr>
              <w:spacing w:after="0" w:line="259" w:lineRule="auto"/>
              <w:ind w:left="714" w:hanging="357"/>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όγκου εργασίας, της πορείας και της ολοκλήρωσης των σπουδών</w:t>
            </w:r>
          </w:p>
          <w:p w14:paraId="5B55A917" w14:textId="77777777" w:rsidR="00537842" w:rsidRPr="00537842" w:rsidRDefault="00537842" w:rsidP="00537842">
            <w:pPr>
              <w:pStyle w:val="ListParagraph"/>
              <w:numPr>
                <w:ilvl w:val="0"/>
                <w:numId w:val="22"/>
              </w:numPr>
              <w:spacing w:after="0" w:line="259" w:lineRule="auto"/>
              <w:ind w:left="714" w:hanging="357"/>
              <w:contextualSpacing w:val="0"/>
              <w:jc w:val="both"/>
              <w:rPr>
                <w:rFonts w:asciiTheme="majorHAnsi" w:hAnsiTheme="majorHAnsi" w:cstheme="majorHAnsi"/>
                <w:i/>
                <w:noProof/>
              </w:rPr>
            </w:pPr>
            <w:r w:rsidRPr="00537842">
              <w:rPr>
                <w:rFonts w:asciiTheme="majorHAnsi" w:hAnsiTheme="majorHAnsi" w:cstheme="majorHAnsi"/>
                <w:i/>
                <w:noProof/>
              </w:rPr>
              <w:t>της αποτελεσματικότητας των εκπαιδευτικών διαδικασιών</w:t>
            </w:r>
          </w:p>
          <w:p w14:paraId="0044B565" w14:textId="77777777" w:rsidR="00537842" w:rsidRPr="00537842" w:rsidRDefault="00537842" w:rsidP="00537842">
            <w:pPr>
              <w:pStyle w:val="ListParagraph"/>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των προσδοκιών και των αναγκών των διδακτορικών φοιτητών καθώς και της ικανοποίησής τους από το πρόγραμμα σπουδών τους</w:t>
            </w:r>
          </w:p>
          <w:p w14:paraId="66EF9597" w14:textId="77777777" w:rsidR="00537842" w:rsidRPr="00537842" w:rsidRDefault="00537842" w:rsidP="00537842">
            <w:pPr>
              <w:pStyle w:val="ListParagraph"/>
              <w:numPr>
                <w:ilvl w:val="0"/>
                <w:numId w:val="22"/>
              </w:numPr>
              <w:spacing w:after="0" w:line="259" w:lineRule="auto"/>
              <w:contextualSpacing w:val="0"/>
              <w:jc w:val="both"/>
              <w:rPr>
                <w:rFonts w:asciiTheme="majorHAnsi" w:hAnsiTheme="majorHAnsi" w:cstheme="majorHAnsi"/>
                <w:i/>
                <w:noProof/>
                <w:lang w:val="el-GR"/>
              </w:rPr>
            </w:pPr>
            <w:r w:rsidRPr="00537842">
              <w:rPr>
                <w:rFonts w:asciiTheme="majorHAnsi" w:hAnsiTheme="majorHAnsi" w:cstheme="majorHAnsi"/>
                <w:i/>
                <w:noProof/>
                <w:lang w:val="el-GR"/>
              </w:rPr>
              <w:t>του μαθησιακού περιβάλλοντος, των υποστηρικτικών παροχών και της καταλληλότητάς τους για το αναφερόμενο ΠΔΣ</w:t>
            </w:r>
          </w:p>
          <w:p w14:paraId="104AC103"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Η εσωτερική αξιολόγηση των ΠΔΣ πραγματοποιείται από τη ΜΟΔΙΠ σε συνεργασία με την ΟΜΕΑ του Τμήματος, σύμφωνα με έγραφη διαδικασία που περιλαμβάνεται στο εγχειρίδιο ποιότητας του Εσωτερικού Συστήματος Διασφάλισης Ποιότητας (ΕΣΔΠ).</w:t>
            </w:r>
          </w:p>
          <w:p w14:paraId="1EDB5B52" w14:textId="77777777" w:rsidR="00537842" w:rsidRPr="00537842" w:rsidRDefault="00537842" w:rsidP="00537842">
            <w:pPr>
              <w:spacing w:before="120"/>
              <w:jc w:val="both"/>
              <w:rPr>
                <w:rFonts w:asciiTheme="majorHAnsi" w:hAnsiTheme="majorHAnsi" w:cstheme="majorHAnsi"/>
                <w:i/>
                <w:noProof/>
              </w:rPr>
            </w:pPr>
            <w:r w:rsidRPr="00537842">
              <w:rPr>
                <w:rFonts w:asciiTheme="majorHAnsi" w:hAnsiTheme="majorHAnsi" w:cstheme="majorHAnsi"/>
                <w:i/>
                <w:noProof/>
              </w:rPr>
              <w:t>Τα Προγράμματα Διδακτορικών Σπουδών εξετάζονται και αναθεωρούνται τακτικά με τη συμμετοχή των διδακτορικών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14:paraId="604B1A5A" w14:textId="77777777" w:rsidR="009E5006" w:rsidRPr="009E5006" w:rsidRDefault="009E5006" w:rsidP="009E5006">
            <w:pPr>
              <w:tabs>
                <w:tab w:val="left" w:pos="9356"/>
              </w:tabs>
              <w:spacing w:after="80"/>
              <w:jc w:val="both"/>
              <w:rPr>
                <w:rFonts w:ascii="Calibri" w:hAnsi="Calibri" w:cs="Calibri"/>
                <w:color w:val="808080"/>
              </w:rPr>
            </w:pPr>
          </w:p>
        </w:tc>
      </w:tr>
    </w:tbl>
    <w:p w14:paraId="4F4125B5" w14:textId="77777777" w:rsidR="009E5006" w:rsidRPr="009E5006" w:rsidRDefault="009E5006" w:rsidP="009E5006">
      <w:pPr>
        <w:tabs>
          <w:tab w:val="left" w:pos="9356"/>
        </w:tabs>
        <w:spacing w:after="80" w:line="259" w:lineRule="auto"/>
        <w:jc w:val="both"/>
        <w:rPr>
          <w:rFonts w:ascii="Calibri" w:eastAsia="SimSun" w:hAnsi="Calibri" w:cs="Calibri"/>
          <w:b/>
          <w:smallCaps/>
          <w:color w:val="1B587C"/>
          <w:u w:val="single"/>
          <w:lang w:eastAsia="el-GR"/>
        </w:rPr>
      </w:pPr>
    </w:p>
    <w:p w14:paraId="11507F0D" w14:textId="77777777" w:rsidR="00537842" w:rsidRDefault="00537842" w:rsidP="00AF1CE0">
      <w:pPr>
        <w:tabs>
          <w:tab w:val="left" w:pos="3900"/>
        </w:tabs>
        <w:rPr>
          <w:rFonts w:cstheme="minorHAnsi"/>
          <w:sz w:val="22"/>
          <w:szCs w:val="22"/>
        </w:rPr>
      </w:pPr>
    </w:p>
    <w:p w14:paraId="5826D795" w14:textId="77777777" w:rsidR="003B64EE" w:rsidRDefault="003B64EE" w:rsidP="003B64EE">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6529625E" w14:textId="77777777" w:rsidR="00741226" w:rsidRDefault="00741226" w:rsidP="003F3B83">
      <w:pPr>
        <w:spacing w:line="259" w:lineRule="auto"/>
        <w:jc w:val="both"/>
        <w:rPr>
          <w:rFonts w:eastAsia="SimSun" w:cs="Calibri"/>
          <w:b/>
          <w:sz w:val="22"/>
          <w:szCs w:val="22"/>
          <w:u w:val="single"/>
          <w:lang w:eastAsia="el-GR"/>
        </w:rPr>
      </w:pPr>
    </w:p>
    <w:p w14:paraId="7FAF97EC"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Δ7.1 Διαδικασία για την επανεκτίμηση, την αναπροσαρμογή και την επικαιροποίηση του ΠΔΣ</w:t>
      </w:r>
    </w:p>
    <w:p w14:paraId="0E642888" w14:textId="77777777" w:rsidR="00741226" w:rsidRPr="00741226" w:rsidRDefault="00741226" w:rsidP="00741226">
      <w:pPr>
        <w:tabs>
          <w:tab w:val="left" w:pos="9356"/>
        </w:tabs>
        <w:spacing w:after="120" w:line="259" w:lineRule="auto"/>
        <w:jc w:val="both"/>
        <w:rPr>
          <w:rFonts w:cstheme="minorHAnsi"/>
          <w:sz w:val="22"/>
          <w:szCs w:val="22"/>
        </w:rPr>
      </w:pPr>
      <w:r w:rsidRPr="00741226">
        <w:rPr>
          <w:rFonts w:cstheme="minorHAnsi"/>
          <w:sz w:val="22"/>
          <w:szCs w:val="22"/>
        </w:rPr>
        <w:t>Δ7.2 Αποτελέσματα της τελευταίας ετήσιας εσωτερικής αξιολόγησης του ΠΔΣ από τη ΜΟΔΙΠ και το σχετικό πρακτικό</w:t>
      </w:r>
    </w:p>
    <w:p w14:paraId="33739D2F" w14:textId="77777777" w:rsidR="00537842" w:rsidRPr="00741226" w:rsidRDefault="00537842" w:rsidP="00741226">
      <w:pPr>
        <w:pStyle w:val="ListParagraph"/>
        <w:numPr>
          <w:ilvl w:val="0"/>
          <w:numId w:val="21"/>
        </w:numPr>
        <w:rPr>
          <w:rFonts w:eastAsia="Malgun Gothic" w:cs="Calibri"/>
          <w:b/>
          <w:smallCaps/>
          <w:color w:val="000000"/>
          <w:sz w:val="26"/>
          <w:szCs w:val="26"/>
          <w:lang w:val="el-GR" w:eastAsia="el-GR"/>
        </w:rPr>
      </w:pPr>
      <w:r w:rsidRPr="00741226">
        <w:rPr>
          <w:rFonts w:cstheme="minorHAnsi"/>
          <w:lang w:val="el-GR"/>
        </w:rPr>
        <w:br w:type="page"/>
      </w:r>
      <w:bookmarkStart w:id="27" w:name="_Toc469405386"/>
      <w:bookmarkStart w:id="28" w:name="_Toc86947934"/>
      <w:bookmarkStart w:id="29" w:name="_Toc108530255"/>
      <w:bookmarkStart w:id="30" w:name="_Toc140842670"/>
      <w:bookmarkStart w:id="31" w:name="_Toc142386246"/>
      <w:r w:rsidRPr="00741226">
        <w:rPr>
          <w:rFonts w:eastAsia="Malgun Gothic" w:cs="Calibri"/>
          <w:b/>
          <w:smallCaps/>
          <w:color w:val="000000"/>
          <w:sz w:val="26"/>
          <w:szCs w:val="26"/>
          <w:lang w:val="el-GR" w:eastAsia="el-GR"/>
        </w:rPr>
        <w:lastRenderedPageBreak/>
        <w:t>Περιοδική εξωτερική αξιολόγηση και πιστοποίηση των Προγραμμάτων Διδακτορικών Σ</w:t>
      </w:r>
      <w:bookmarkEnd w:id="27"/>
      <w:bookmarkEnd w:id="28"/>
      <w:bookmarkEnd w:id="29"/>
      <w:r w:rsidRPr="00741226">
        <w:rPr>
          <w:rFonts w:eastAsia="Malgun Gothic" w:cs="Calibri"/>
          <w:b/>
          <w:smallCaps/>
          <w:color w:val="000000"/>
          <w:sz w:val="26"/>
          <w:szCs w:val="26"/>
          <w:lang w:val="el-GR" w:eastAsia="el-GR"/>
        </w:rPr>
        <w:t>πουδών</w:t>
      </w:r>
      <w:bookmarkEnd w:id="30"/>
      <w:bookmarkEnd w:id="31"/>
    </w:p>
    <w:p w14:paraId="7561DB41" w14:textId="77777777" w:rsidR="003B0E0D" w:rsidRPr="00537842" w:rsidRDefault="00537842" w:rsidP="00537842">
      <w:pPr>
        <w:keepNext/>
        <w:keepLines/>
        <w:tabs>
          <w:tab w:val="left" w:pos="9356"/>
        </w:tabs>
        <w:spacing w:before="120" w:after="120" w:line="259" w:lineRule="auto"/>
        <w:jc w:val="both"/>
        <w:rPr>
          <w:rFonts w:ascii="Calibri" w:eastAsia="Malgun Gothic" w:hAnsi="Calibri" w:cs="Calibri"/>
          <w:b/>
          <w:bCs/>
          <w:smallCaps/>
          <w:noProof/>
          <w:color w:val="000000"/>
          <w:szCs w:val="26"/>
          <w:lang w:eastAsia="el-GR"/>
        </w:rPr>
      </w:pPr>
      <w:bookmarkStart w:id="32" w:name="_Toc469405387"/>
      <w:r w:rsidRPr="00537842">
        <w:rPr>
          <w:rFonts w:ascii="Calibri" w:eastAsia="Malgun Gothic" w:hAnsi="Calibri" w:cs="Calibri"/>
          <w:b/>
          <w:bCs/>
          <w:smallCaps/>
          <w:noProof/>
          <w:color w:val="000000"/>
          <w:szCs w:val="26"/>
          <w:lang w:eastAsia="el-GR"/>
        </w:rPr>
        <w:t>Τα Προγράμματα Διδακτορικών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τους. Η διάρκεια της πιστοποίησης καθορίζεται από την ΕΘΑΑΕ.</w:t>
      </w:r>
      <w:bookmarkEnd w:id="32"/>
    </w:p>
    <w:p w14:paraId="46253BE2" w14:textId="77777777" w:rsidR="00537842" w:rsidRDefault="00537842" w:rsidP="00537842">
      <w:pPr>
        <w:spacing w:after="160" w:line="259" w:lineRule="auto"/>
        <w:jc w:val="both"/>
        <w:rPr>
          <w:rFonts w:ascii="Calibri" w:eastAsia="Calibri" w:hAnsi="Calibri" w:cs="Times New Roman"/>
          <w:sz w:val="22"/>
          <w:szCs w:val="22"/>
          <w:lang w:eastAsia="el-GR"/>
        </w:rPr>
      </w:pPr>
    </w:p>
    <w:tbl>
      <w:tblPr>
        <w:tblStyle w:val="7"/>
        <w:tblW w:w="0" w:type="auto"/>
        <w:tblBorders>
          <w:top w:val="single" w:sz="8" w:space="0" w:color="1B587C"/>
          <w:left w:val="single" w:sz="8" w:space="0" w:color="1B587C"/>
          <w:bottom w:val="single" w:sz="8" w:space="0" w:color="1B587C"/>
          <w:right w:val="single" w:sz="8" w:space="0" w:color="1B587C"/>
          <w:insideH w:val="single" w:sz="8" w:space="0" w:color="1B587C"/>
          <w:insideV w:val="single" w:sz="8" w:space="0" w:color="1B587C"/>
        </w:tblBorders>
        <w:tblLook w:val="04A0" w:firstRow="1" w:lastRow="0" w:firstColumn="1" w:lastColumn="0" w:noHBand="0" w:noVBand="1"/>
      </w:tblPr>
      <w:tblGrid>
        <w:gridCol w:w="9044"/>
      </w:tblGrid>
      <w:tr w:rsidR="003B0E0D" w:rsidRPr="009E5006" w14:paraId="15B834F4" w14:textId="77777777" w:rsidTr="009D76F8">
        <w:tc>
          <w:tcPr>
            <w:tcW w:w="9044" w:type="dxa"/>
          </w:tcPr>
          <w:p w14:paraId="1D771CE7"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 xml:space="preserve">Η περιοδική εξωτερική αξιολόγηση και πιστοποίηση των ΠΔΣ οργανώνεται από την ΕΘΑΑΕ και πραγματοποιείται με τις διαδικασίες εξωτερικής αξιολόγησης από </w:t>
            </w:r>
            <w:r w:rsidR="00781E78">
              <w:rPr>
                <w:rFonts w:asciiTheme="majorHAnsi" w:hAnsiTheme="majorHAnsi" w:cstheme="majorHAnsi"/>
                <w:i/>
              </w:rPr>
              <w:t xml:space="preserve">επιτροπές </w:t>
            </w:r>
            <w:r w:rsidRPr="003B0E0D">
              <w:rPr>
                <w:rFonts w:asciiTheme="majorHAnsi" w:hAnsiTheme="majorHAnsi" w:cstheme="majorHAnsi"/>
                <w:i/>
              </w:rPr>
              <w:t xml:space="preserve">εξωτερικής αξιολόγησης και πιστοποίησης (ΕΕΑΠ). Η πιστοποίηση του προγράμματος σπουδών, παρέχεται από την ΕΘΑΑΕ βάσει των εκθέσεων των επιτροπών, για συγκεκριμένη διάρκεια, μετά τη λήξη της οποίας πραγματοποιείται επαναπιστοποίησή του. </w:t>
            </w:r>
          </w:p>
          <w:p w14:paraId="7D9C8E8D"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Η αξιολόγηση ποιότητας των ΠΔΣ λειτουργεί ως μέσο εξακρίβωσης της συμμόρφωσης του προγράμματος διδακτορικών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w:t>
            </w:r>
          </w:p>
          <w:p w14:paraId="7A159FBF" w14:textId="77777777" w:rsidR="003B0E0D" w:rsidRPr="003B0E0D" w:rsidRDefault="003B0E0D" w:rsidP="003B0E0D">
            <w:pPr>
              <w:spacing w:before="120"/>
              <w:jc w:val="both"/>
              <w:rPr>
                <w:rFonts w:asciiTheme="majorHAnsi" w:hAnsiTheme="majorHAnsi" w:cstheme="majorHAnsi"/>
                <w:i/>
              </w:rPr>
            </w:pPr>
            <w:r w:rsidRPr="003B0E0D">
              <w:rPr>
                <w:rFonts w:asciiTheme="majorHAnsi" w:hAnsiTheme="majorHAnsi" w:cstheme="majorHAnsi"/>
                <w:i/>
              </w:rPr>
              <w:t>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 και να συντάσσουν εκθέσεις προόδου για την παρακολούθηση της αντιμετώπισης των αδυναμιών και την επίτευξη των στόχων τους.</w:t>
            </w:r>
          </w:p>
          <w:p w14:paraId="2A9E4B37" w14:textId="77777777" w:rsidR="003B0E0D" w:rsidRPr="009E5006" w:rsidRDefault="003B0E0D" w:rsidP="003B0E0D">
            <w:pPr>
              <w:spacing w:before="120"/>
              <w:jc w:val="both"/>
              <w:rPr>
                <w:rFonts w:ascii="Calibri" w:hAnsi="Calibri" w:cs="Calibri"/>
                <w:color w:val="808080"/>
              </w:rPr>
            </w:pPr>
          </w:p>
        </w:tc>
      </w:tr>
    </w:tbl>
    <w:p w14:paraId="56D4426A" w14:textId="77777777" w:rsidR="003B0E0D" w:rsidRPr="00537842" w:rsidRDefault="003B0E0D" w:rsidP="00537842">
      <w:pPr>
        <w:spacing w:after="160" w:line="259" w:lineRule="auto"/>
        <w:jc w:val="both"/>
        <w:rPr>
          <w:rFonts w:ascii="Calibri" w:eastAsia="Calibri" w:hAnsi="Calibri" w:cs="Times New Roman"/>
          <w:sz w:val="22"/>
          <w:szCs w:val="22"/>
          <w:lang w:eastAsia="el-GR"/>
        </w:rPr>
      </w:pPr>
    </w:p>
    <w:p w14:paraId="2804CB2E" w14:textId="77777777" w:rsidR="00F222CD" w:rsidRPr="00537842" w:rsidRDefault="007779C0" w:rsidP="00B848FD">
      <w:pPr>
        <w:spacing w:after="160" w:line="259" w:lineRule="auto"/>
        <w:rPr>
          <w:rFonts w:ascii="Calibri" w:eastAsia="Calibri" w:hAnsi="Calibri" w:cs="Times New Roman"/>
          <w:sz w:val="22"/>
          <w:szCs w:val="22"/>
        </w:rPr>
      </w:pPr>
      <w:r>
        <w:rPr>
          <w:rFonts w:ascii="Calibri" w:eastAsia="Calibri" w:hAnsi="Calibri" w:cs="Calibri"/>
          <w:b/>
          <w:sz w:val="22"/>
          <w:szCs w:val="22"/>
          <w:u w:val="single"/>
        </w:rPr>
        <w:t xml:space="preserve"> </w:t>
      </w:r>
    </w:p>
    <w:p w14:paraId="5AF3620D" w14:textId="77777777" w:rsidR="007779C0" w:rsidRDefault="007779C0" w:rsidP="007779C0">
      <w:pPr>
        <w:spacing w:line="259" w:lineRule="auto"/>
        <w:jc w:val="both"/>
        <w:rPr>
          <w:rFonts w:eastAsia="SimSun" w:cs="Calibri"/>
          <w:b/>
          <w:sz w:val="22"/>
          <w:szCs w:val="22"/>
          <w:u w:val="single"/>
          <w:lang w:eastAsia="el-GR"/>
        </w:rPr>
      </w:pPr>
      <w:r>
        <w:rPr>
          <w:rFonts w:eastAsia="SimSun" w:cs="Calibri"/>
          <w:b/>
          <w:sz w:val="22"/>
          <w:szCs w:val="22"/>
          <w:u w:val="single"/>
          <w:lang w:eastAsia="el-GR"/>
        </w:rPr>
        <w:t>Τεκμηρίωση/Παραρτήματα</w:t>
      </w:r>
    </w:p>
    <w:p w14:paraId="46056B5B" w14:textId="77777777" w:rsidR="004F688B" w:rsidRDefault="004F688B" w:rsidP="003F3B83">
      <w:pPr>
        <w:spacing w:line="259" w:lineRule="auto"/>
        <w:jc w:val="both"/>
        <w:rPr>
          <w:rFonts w:eastAsia="SimSun" w:cs="Calibri"/>
          <w:b/>
          <w:sz w:val="22"/>
          <w:szCs w:val="22"/>
          <w:u w:val="single"/>
          <w:lang w:eastAsia="el-GR"/>
        </w:rPr>
      </w:pPr>
    </w:p>
    <w:p w14:paraId="58F46BB5" w14:textId="77777777" w:rsidR="00F222CD" w:rsidRPr="00423213" w:rsidRDefault="00F222CD" w:rsidP="00F222CD">
      <w:pPr>
        <w:jc w:val="both"/>
        <w:rPr>
          <w:sz w:val="22"/>
          <w:szCs w:val="22"/>
        </w:rPr>
      </w:pPr>
      <w:r>
        <w:rPr>
          <w:rFonts w:cstheme="minorHAnsi"/>
          <w:sz w:val="22"/>
          <w:szCs w:val="22"/>
        </w:rPr>
        <w:t xml:space="preserve">Δ8.1 </w:t>
      </w:r>
      <w:r w:rsidRPr="00423213">
        <w:rPr>
          <w:rFonts w:cstheme="minorHAnsi"/>
          <w:sz w:val="22"/>
          <w:szCs w:val="22"/>
        </w:rPr>
        <w:t>Έκθεση της ακαδημαϊκής μονάδας για τις πρόσφατες βελτιώσεις που έχουν πραγματοποιηθεί για το ΠΔΣ</w:t>
      </w:r>
    </w:p>
    <w:p w14:paraId="33D4DCF1" w14:textId="77777777" w:rsidR="00F222CD" w:rsidRDefault="00F222CD" w:rsidP="00F222CD"/>
    <w:p w14:paraId="082CC965" w14:textId="77777777" w:rsidR="00F222CD" w:rsidRPr="00F222CD" w:rsidRDefault="00F222CD" w:rsidP="003F3B83">
      <w:pPr>
        <w:spacing w:line="259" w:lineRule="auto"/>
        <w:jc w:val="both"/>
        <w:rPr>
          <w:rFonts w:eastAsia="SimSun" w:cs="Calibri"/>
          <w:b/>
          <w:sz w:val="22"/>
          <w:szCs w:val="22"/>
          <w:u w:val="single"/>
          <w:lang w:eastAsia="el-GR"/>
        </w:rPr>
      </w:pPr>
    </w:p>
    <w:p w14:paraId="3936D1E0" w14:textId="77777777" w:rsidR="000001D7" w:rsidRPr="00FF2BE3" w:rsidRDefault="000001D7" w:rsidP="00AF1CE0">
      <w:pPr>
        <w:tabs>
          <w:tab w:val="left" w:pos="3900"/>
        </w:tabs>
        <w:rPr>
          <w:rFonts w:cstheme="minorHAnsi"/>
          <w:sz w:val="22"/>
          <w:szCs w:val="22"/>
        </w:rPr>
      </w:pPr>
    </w:p>
    <w:sectPr w:rsidR="000001D7" w:rsidRPr="00FF2BE3" w:rsidSect="003E670A">
      <w:footerReference w:type="default" r:id="rId12"/>
      <w:footerReference w:type="first" r:id="rId13"/>
      <w:pgSz w:w="11900" w:h="16840" w:code="9"/>
      <w:pgMar w:top="1560" w:right="1418" w:bottom="1418" w:left="1418" w:header="175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AA8C" w14:textId="77777777" w:rsidR="00E27BB1" w:rsidRDefault="00E27BB1" w:rsidP="002E520E">
      <w:r>
        <w:separator/>
      </w:r>
    </w:p>
  </w:endnote>
  <w:endnote w:type="continuationSeparator" w:id="0">
    <w:p w14:paraId="1DF13F9D" w14:textId="77777777" w:rsidR="00E27BB1" w:rsidRDefault="00E27BB1" w:rsidP="002E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883317"/>
      <w:docPartObj>
        <w:docPartGallery w:val="Page Numbers (Bottom of Page)"/>
        <w:docPartUnique/>
      </w:docPartObj>
    </w:sdtPr>
    <w:sdtEndPr>
      <w:rPr>
        <w:rStyle w:val="PageNumber"/>
      </w:rPr>
    </w:sdtEndPr>
    <w:sdtContent>
      <w:p w14:paraId="7A2E7597" w14:textId="77777777" w:rsidR="002E520E" w:rsidRDefault="002E520E" w:rsidP="00B02D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21D09" w14:textId="77777777" w:rsidR="002E520E" w:rsidRDefault="002E520E" w:rsidP="002E52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A6FA" w14:textId="77777777" w:rsidR="0021315F" w:rsidRDefault="0021315F" w:rsidP="0021315F">
    <w:pPr>
      <w:pStyle w:val="Footer"/>
      <w:rPr>
        <w:rFonts w:cstheme="minorHAnsi"/>
        <w:i/>
        <w:color w:val="002060"/>
        <w:sz w:val="18"/>
        <w:szCs w:val="18"/>
      </w:rPr>
    </w:pPr>
  </w:p>
  <w:p w14:paraId="5B17A04E" w14:textId="77777777" w:rsidR="0021315F" w:rsidRPr="00BF514E" w:rsidRDefault="00AF1CE0" w:rsidP="0021315F">
    <w:pPr>
      <w:pStyle w:val="Footer"/>
      <w:rPr>
        <w:rFonts w:cstheme="minorHAnsi"/>
        <w:i/>
        <w:color w:val="002060"/>
        <w:sz w:val="18"/>
        <w:szCs w:val="18"/>
      </w:rPr>
    </w:pPr>
    <w:r>
      <w:rPr>
        <w:rFonts w:cstheme="minorHAnsi"/>
        <w:i/>
        <w:color w:val="002060"/>
        <w:sz w:val="18"/>
        <w:szCs w:val="18"/>
      </w:rPr>
      <w:t xml:space="preserve"> </w:t>
    </w:r>
  </w:p>
  <w:p w14:paraId="346DC839" w14:textId="77777777" w:rsidR="00EC77E5" w:rsidRPr="00B32E66" w:rsidRDefault="00EC77E5" w:rsidP="00EC77E5">
    <w:pPr>
      <w:pStyle w:val="Footer"/>
      <w:jc w:val="center"/>
      <w:rPr>
        <w:rFonts w:cstheme="minorHAnsi"/>
        <w:i/>
        <w:color w:val="002060"/>
        <w:sz w:val="18"/>
        <w:szCs w:val="18"/>
      </w:rPr>
    </w:pPr>
    <w:r>
      <w:rPr>
        <w:i/>
        <w:sz w:val="18"/>
        <w:szCs w:val="18"/>
      </w:rPr>
      <w:t xml:space="preserve"> </w:t>
    </w:r>
  </w:p>
  <w:p w14:paraId="72A6FE28" w14:textId="77777777" w:rsidR="00386AB2" w:rsidRPr="00B32E66" w:rsidRDefault="0022180E" w:rsidP="00386AB2">
    <w:pPr>
      <w:pStyle w:val="Footer"/>
      <w:jc w:val="center"/>
      <w:rPr>
        <w:rFonts w:cstheme="minorHAnsi"/>
        <w:i/>
        <w:color w:val="002060"/>
        <w:sz w:val="18"/>
        <w:szCs w:val="18"/>
      </w:rPr>
    </w:pPr>
    <w:r>
      <w:rPr>
        <w:i/>
        <w:sz w:val="18"/>
        <w:szCs w:val="18"/>
      </w:rPr>
      <w:t xml:space="preserve"> </w:t>
    </w:r>
  </w:p>
  <w:p w14:paraId="0B71415E" w14:textId="77777777" w:rsidR="00D0018F" w:rsidRPr="00B32E66" w:rsidRDefault="00D0018F" w:rsidP="00D0018F">
    <w:pPr>
      <w:pStyle w:val="Footer"/>
      <w:jc w:val="center"/>
      <w:rPr>
        <w:rFonts w:cstheme="minorHAnsi"/>
        <w:i/>
        <w:color w:val="002060"/>
        <w:sz w:val="18"/>
        <w:szCs w:val="18"/>
      </w:rPr>
    </w:pPr>
    <w:r>
      <w:rPr>
        <w:i/>
        <w:sz w:val="18"/>
        <w:szCs w:val="18"/>
      </w:rPr>
      <w:t xml:space="preserve">  </w:t>
    </w:r>
  </w:p>
  <w:p w14:paraId="12E557F1" w14:textId="77777777" w:rsidR="009203B1" w:rsidRPr="00B32E66" w:rsidRDefault="009203B1" w:rsidP="009203B1">
    <w:pPr>
      <w:pStyle w:val="Footer"/>
      <w:jc w:val="center"/>
      <w:rPr>
        <w:rFonts w:cstheme="minorHAnsi"/>
        <w:i/>
        <w:color w:val="002060"/>
        <w:sz w:val="18"/>
        <w:szCs w:val="18"/>
      </w:rPr>
    </w:pPr>
  </w:p>
  <w:p w14:paraId="036B7326" w14:textId="77777777" w:rsidR="0022180E" w:rsidRPr="00B32E66" w:rsidRDefault="0022180E" w:rsidP="0022180E">
    <w:pPr>
      <w:pStyle w:val="Footer"/>
      <w:jc w:val="center"/>
      <w:rPr>
        <w:rFonts w:cstheme="minorHAnsi"/>
        <w:i/>
        <w:color w:val="002060"/>
        <w:sz w:val="18"/>
        <w:szCs w:val="18"/>
      </w:rPr>
    </w:pPr>
    <w:r>
      <w:rPr>
        <w:i/>
        <w:sz w:val="18"/>
        <w:szCs w:val="18"/>
      </w:rPr>
      <w:t xml:space="preserve"> </w:t>
    </w:r>
  </w:p>
  <w:p w14:paraId="4C2D2DEE" w14:textId="77777777" w:rsidR="002E520E" w:rsidRPr="0021315F" w:rsidRDefault="002E520E" w:rsidP="00213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786057"/>
      <w:docPartObj>
        <w:docPartGallery w:val="Page Numbers (Bottom of Page)"/>
        <w:docPartUnique/>
      </w:docPartObj>
    </w:sdtPr>
    <w:sdtEndPr>
      <w:rPr>
        <w:sz w:val="22"/>
        <w:szCs w:val="22"/>
      </w:rPr>
    </w:sdtEndPr>
    <w:sdtContent>
      <w:p w14:paraId="6AC292FF" w14:textId="77777777" w:rsidR="00200326" w:rsidRPr="00CE6094" w:rsidRDefault="00CE6094" w:rsidP="003E670A">
        <w:pPr>
          <w:pStyle w:val="Footer"/>
          <w:rPr>
            <w:rFonts w:cstheme="minorHAnsi"/>
            <w:i/>
            <w:sz w:val="18"/>
            <w:szCs w:val="18"/>
          </w:rPr>
        </w:pPr>
        <w:r w:rsidRPr="00CE6094">
          <w:rPr>
            <w:i/>
            <w:sz w:val="18"/>
            <w:szCs w:val="18"/>
          </w:rPr>
          <w:t>Δ</w:t>
        </w:r>
        <w:r w:rsidR="00200326" w:rsidRPr="00CE6094">
          <w:rPr>
            <w:rFonts w:cstheme="minorHAnsi"/>
            <w:i/>
            <w:sz w:val="18"/>
            <w:szCs w:val="18"/>
          </w:rPr>
          <w:t xml:space="preserve">2             Πρόταση </w:t>
        </w:r>
        <w:r w:rsidRPr="00CE6094">
          <w:rPr>
            <w:rFonts w:cstheme="minorHAnsi"/>
            <w:i/>
            <w:sz w:val="18"/>
            <w:szCs w:val="18"/>
          </w:rPr>
          <w:t xml:space="preserve">Ακαδημαϊκής </w:t>
        </w:r>
        <w:r w:rsidR="00200326" w:rsidRPr="00CE6094">
          <w:rPr>
            <w:rFonts w:cstheme="minorHAnsi"/>
            <w:i/>
            <w:sz w:val="18"/>
            <w:szCs w:val="18"/>
          </w:rPr>
          <w:t xml:space="preserve">Πιστοποίησης του </w:t>
        </w:r>
        <w:r w:rsidRPr="00CE6094">
          <w:rPr>
            <w:rFonts w:cstheme="minorHAnsi"/>
            <w:i/>
            <w:sz w:val="18"/>
            <w:szCs w:val="18"/>
          </w:rPr>
          <w:t xml:space="preserve">ΠΔΣ .... (τίτλος) - </w:t>
        </w:r>
        <w:r w:rsidR="00200326" w:rsidRPr="00CE6094">
          <w:rPr>
            <w:rFonts w:cstheme="minorHAnsi"/>
            <w:i/>
            <w:sz w:val="18"/>
            <w:szCs w:val="18"/>
          </w:rPr>
          <w:t xml:space="preserve"> …... (Ίδρυμα)</w:t>
        </w:r>
        <w:r w:rsidR="000A4AD2" w:rsidRPr="00CE6094">
          <w:rPr>
            <w:rFonts w:cstheme="minorHAnsi"/>
            <w:i/>
            <w:sz w:val="18"/>
            <w:szCs w:val="18"/>
          </w:rPr>
          <w:t xml:space="preserve">  </w:t>
        </w:r>
        <w:r w:rsidR="003E670A" w:rsidRPr="00CE6094">
          <w:rPr>
            <w:rFonts w:cstheme="minorHAnsi"/>
            <w:i/>
            <w:sz w:val="18"/>
            <w:szCs w:val="18"/>
          </w:rPr>
          <w:t xml:space="preserve">                                                          </w:t>
        </w:r>
        <w:r w:rsidR="000A4AD2" w:rsidRPr="00CE6094">
          <w:rPr>
            <w:rFonts w:cstheme="minorHAnsi"/>
            <w:i/>
            <w:sz w:val="18"/>
            <w:szCs w:val="18"/>
          </w:rPr>
          <w:t xml:space="preserve">      </w:t>
        </w:r>
        <w:r w:rsidR="000A4AD2" w:rsidRPr="00CE6094">
          <w:rPr>
            <w:rFonts w:cstheme="minorHAnsi"/>
            <w:i/>
            <w:sz w:val="18"/>
            <w:szCs w:val="18"/>
          </w:rPr>
          <w:fldChar w:fldCharType="begin"/>
        </w:r>
        <w:r w:rsidR="000A4AD2" w:rsidRPr="00CE6094">
          <w:rPr>
            <w:rFonts w:cstheme="minorHAnsi"/>
            <w:i/>
            <w:sz w:val="18"/>
            <w:szCs w:val="18"/>
          </w:rPr>
          <w:instrText>PAGE   \* MERGEFORMAT</w:instrText>
        </w:r>
        <w:r w:rsidR="000A4AD2" w:rsidRPr="00CE6094">
          <w:rPr>
            <w:rFonts w:cstheme="minorHAnsi"/>
            <w:i/>
            <w:sz w:val="18"/>
            <w:szCs w:val="18"/>
          </w:rPr>
          <w:fldChar w:fldCharType="separate"/>
        </w:r>
        <w:r w:rsidR="00595306">
          <w:rPr>
            <w:rFonts w:cstheme="minorHAnsi"/>
            <w:i/>
            <w:noProof/>
            <w:sz w:val="18"/>
            <w:szCs w:val="18"/>
          </w:rPr>
          <w:t>15</w:t>
        </w:r>
        <w:r w:rsidR="000A4AD2" w:rsidRPr="00CE6094">
          <w:rPr>
            <w:rFonts w:cstheme="minorHAnsi"/>
            <w:i/>
            <w:sz w:val="18"/>
            <w:szCs w:val="18"/>
          </w:rPr>
          <w:fldChar w:fldCharType="end"/>
        </w:r>
      </w:p>
      <w:p w14:paraId="458E3D8B" w14:textId="77777777" w:rsidR="00200326" w:rsidRPr="00B32E66" w:rsidRDefault="00200326" w:rsidP="00200326">
        <w:pPr>
          <w:pStyle w:val="Footer"/>
          <w:jc w:val="center"/>
          <w:rPr>
            <w:rFonts w:cstheme="minorHAnsi"/>
            <w:i/>
            <w:color w:val="002060"/>
            <w:sz w:val="18"/>
            <w:szCs w:val="18"/>
          </w:rPr>
        </w:pPr>
        <w:r>
          <w:rPr>
            <w:i/>
            <w:sz w:val="18"/>
            <w:szCs w:val="18"/>
          </w:rPr>
          <w:t xml:space="preserve"> </w:t>
        </w:r>
      </w:p>
      <w:p w14:paraId="7CDBCF77" w14:textId="77777777" w:rsidR="00200326" w:rsidRPr="00567FE2" w:rsidRDefault="00E60016" w:rsidP="00E378C0">
        <w:pPr>
          <w:pStyle w:val="Footer"/>
          <w:jc w:val="right"/>
          <w:rPr>
            <w:sz w:val="22"/>
            <w:szCs w:val="22"/>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AEF4" w14:textId="77777777" w:rsidR="00616496" w:rsidRDefault="00616496">
    <w:pPr>
      <w:pStyle w:val="Footer"/>
      <w:jc w:val="right"/>
    </w:pPr>
  </w:p>
  <w:p w14:paraId="304B9ADC" w14:textId="77777777" w:rsidR="00200326" w:rsidRPr="0021315F" w:rsidRDefault="00200326" w:rsidP="00200326">
    <w:pPr>
      <w:pStyle w:val="Footer"/>
      <w:tabs>
        <w:tab w:val="right" w:pos="906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424C" w14:textId="77777777" w:rsidR="00E27BB1" w:rsidRDefault="00E27BB1" w:rsidP="002E520E">
      <w:r>
        <w:separator/>
      </w:r>
    </w:p>
  </w:footnote>
  <w:footnote w:type="continuationSeparator" w:id="0">
    <w:p w14:paraId="6ECA0769" w14:textId="77777777" w:rsidR="00E27BB1" w:rsidRDefault="00E27BB1" w:rsidP="002E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5715A1"/>
    <w:multiLevelType w:val="hybridMultilevel"/>
    <w:tmpl w:val="F9827F8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1F4E79"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AFB4E73"/>
    <w:multiLevelType w:val="hybridMultilevel"/>
    <w:tmpl w:val="BCE2B20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4D69F6"/>
    <w:multiLevelType w:val="hybridMultilevel"/>
    <w:tmpl w:val="99E464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C257D9"/>
    <w:multiLevelType w:val="hybridMultilevel"/>
    <w:tmpl w:val="48961E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C100A"/>
    <w:multiLevelType w:val="hybridMultilevel"/>
    <w:tmpl w:val="50D2179E"/>
    <w:lvl w:ilvl="0" w:tplc="0409000F">
      <w:start w:val="1"/>
      <w:numFmt w:val="decimal"/>
      <w:lvlText w:val="%1."/>
      <w:lvlJc w:val="left"/>
      <w:pPr>
        <w:ind w:left="65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AD23734"/>
    <w:multiLevelType w:val="hybridMultilevel"/>
    <w:tmpl w:val="0ED8D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E402D5"/>
    <w:multiLevelType w:val="hybridMultilevel"/>
    <w:tmpl w:val="A34876E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E36126C"/>
    <w:multiLevelType w:val="hybridMultilevel"/>
    <w:tmpl w:val="FCFC0B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5EC91837"/>
    <w:multiLevelType w:val="hybridMultilevel"/>
    <w:tmpl w:val="B792D656"/>
    <w:lvl w:ilvl="0" w:tplc="0409000F">
      <w:start w:val="1"/>
      <w:numFmt w:val="decimal"/>
      <w:lvlText w:val="%1."/>
      <w:lvlJc w:val="left"/>
      <w:pPr>
        <w:ind w:left="720" w:hanging="360"/>
      </w:pPr>
    </w:lvl>
    <w:lvl w:ilvl="1" w:tplc="0A34B7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132AE"/>
    <w:multiLevelType w:val="hybridMultilevel"/>
    <w:tmpl w:val="EE1079A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0334355"/>
    <w:multiLevelType w:val="hybridMultilevel"/>
    <w:tmpl w:val="1904FA38"/>
    <w:lvl w:ilvl="0" w:tplc="A382229C">
      <w:start w:val="7"/>
      <w:numFmt w:val="decimal"/>
      <w:lvlText w:val="%1."/>
      <w:lvlJc w:val="left"/>
      <w:pPr>
        <w:ind w:left="360" w:hanging="360"/>
      </w:pPr>
      <w:rPr>
        <w:rFonts w:asciiTheme="minorHAnsi" w:eastAsia="SimSun" w:hAnsiTheme="minorHAns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48389222">
    <w:abstractNumId w:val="20"/>
  </w:num>
  <w:num w:numId="2" w16cid:durableId="1020396463">
    <w:abstractNumId w:val="8"/>
  </w:num>
  <w:num w:numId="3" w16cid:durableId="1161429155">
    <w:abstractNumId w:val="12"/>
  </w:num>
  <w:num w:numId="4" w16cid:durableId="492138628">
    <w:abstractNumId w:val="4"/>
  </w:num>
  <w:num w:numId="5" w16cid:durableId="300233233">
    <w:abstractNumId w:val="2"/>
  </w:num>
  <w:num w:numId="6" w16cid:durableId="1665930905">
    <w:abstractNumId w:val="21"/>
  </w:num>
  <w:num w:numId="7" w16cid:durableId="989289174">
    <w:abstractNumId w:val="14"/>
  </w:num>
  <w:num w:numId="8" w16cid:durableId="2058897542">
    <w:abstractNumId w:val="18"/>
  </w:num>
  <w:num w:numId="9" w16cid:durableId="410977936">
    <w:abstractNumId w:val="0"/>
  </w:num>
  <w:num w:numId="10" w16cid:durableId="1091199089">
    <w:abstractNumId w:val="6"/>
  </w:num>
  <w:num w:numId="11" w16cid:durableId="780806916">
    <w:abstractNumId w:val="5"/>
  </w:num>
  <w:num w:numId="12" w16cid:durableId="1072234885">
    <w:abstractNumId w:val="10"/>
  </w:num>
  <w:num w:numId="13" w16cid:durableId="1788038072">
    <w:abstractNumId w:val="13"/>
  </w:num>
  <w:num w:numId="14" w16cid:durableId="512039798">
    <w:abstractNumId w:val="9"/>
  </w:num>
  <w:num w:numId="15" w16cid:durableId="788203429">
    <w:abstractNumId w:val="17"/>
  </w:num>
  <w:num w:numId="16" w16cid:durableId="317734524">
    <w:abstractNumId w:val="3"/>
  </w:num>
  <w:num w:numId="17" w16cid:durableId="512688170">
    <w:abstractNumId w:val="11"/>
  </w:num>
  <w:num w:numId="18" w16cid:durableId="479813887">
    <w:abstractNumId w:val="7"/>
  </w:num>
  <w:num w:numId="19" w16cid:durableId="858158383">
    <w:abstractNumId w:val="15"/>
  </w:num>
  <w:num w:numId="20" w16cid:durableId="1085876203">
    <w:abstractNumId w:val="19"/>
  </w:num>
  <w:num w:numId="21" w16cid:durableId="478041291">
    <w:abstractNumId w:val="22"/>
  </w:num>
  <w:num w:numId="22" w16cid:durableId="497382248">
    <w:abstractNumId w:val="16"/>
  </w:num>
  <w:num w:numId="23" w16cid:durableId="1805465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872"/>
    <w:rsid w:val="000001D7"/>
    <w:rsid w:val="000057EA"/>
    <w:rsid w:val="00034A88"/>
    <w:rsid w:val="00064118"/>
    <w:rsid w:val="00066A0A"/>
    <w:rsid w:val="00090B18"/>
    <w:rsid w:val="000A4AD2"/>
    <w:rsid w:val="000D0F76"/>
    <w:rsid w:val="000D7C55"/>
    <w:rsid w:val="001134A7"/>
    <w:rsid w:val="00133EE1"/>
    <w:rsid w:val="00137B5F"/>
    <w:rsid w:val="00196F49"/>
    <w:rsid w:val="001B4D5A"/>
    <w:rsid w:val="001D71E0"/>
    <w:rsid w:val="001F6BBE"/>
    <w:rsid w:val="00200326"/>
    <w:rsid w:val="0021315F"/>
    <w:rsid w:val="0022180E"/>
    <w:rsid w:val="0023719B"/>
    <w:rsid w:val="002404C8"/>
    <w:rsid w:val="002767B9"/>
    <w:rsid w:val="00295E72"/>
    <w:rsid w:val="002C0A81"/>
    <w:rsid w:val="002C5605"/>
    <w:rsid w:val="002D6645"/>
    <w:rsid w:val="002E520E"/>
    <w:rsid w:val="002E5C96"/>
    <w:rsid w:val="002E62E8"/>
    <w:rsid w:val="002F30A7"/>
    <w:rsid w:val="002F79E1"/>
    <w:rsid w:val="00333527"/>
    <w:rsid w:val="00365BDA"/>
    <w:rsid w:val="00376C76"/>
    <w:rsid w:val="003804C6"/>
    <w:rsid w:val="00386AB2"/>
    <w:rsid w:val="00392D17"/>
    <w:rsid w:val="0039660E"/>
    <w:rsid w:val="003A4224"/>
    <w:rsid w:val="003B0E0D"/>
    <w:rsid w:val="003B64EE"/>
    <w:rsid w:val="003D1113"/>
    <w:rsid w:val="003E073B"/>
    <w:rsid w:val="003E243F"/>
    <w:rsid w:val="003E670A"/>
    <w:rsid w:val="003F13E6"/>
    <w:rsid w:val="003F3B83"/>
    <w:rsid w:val="00440441"/>
    <w:rsid w:val="00443367"/>
    <w:rsid w:val="00463A4D"/>
    <w:rsid w:val="004A077B"/>
    <w:rsid w:val="004A0A73"/>
    <w:rsid w:val="004C6B08"/>
    <w:rsid w:val="004D5A8B"/>
    <w:rsid w:val="004D7701"/>
    <w:rsid w:val="004E025B"/>
    <w:rsid w:val="004F38E6"/>
    <w:rsid w:val="004F5138"/>
    <w:rsid w:val="004F688B"/>
    <w:rsid w:val="00500B0A"/>
    <w:rsid w:val="00514692"/>
    <w:rsid w:val="00525166"/>
    <w:rsid w:val="00526ADF"/>
    <w:rsid w:val="00532990"/>
    <w:rsid w:val="00537842"/>
    <w:rsid w:val="00546300"/>
    <w:rsid w:val="00557325"/>
    <w:rsid w:val="00560E1A"/>
    <w:rsid w:val="00562F95"/>
    <w:rsid w:val="00566AAC"/>
    <w:rsid w:val="00567FE2"/>
    <w:rsid w:val="005937FF"/>
    <w:rsid w:val="00595306"/>
    <w:rsid w:val="005A300D"/>
    <w:rsid w:val="005B1639"/>
    <w:rsid w:val="005C21D8"/>
    <w:rsid w:val="005D3A2E"/>
    <w:rsid w:val="005E16C1"/>
    <w:rsid w:val="005F0A2A"/>
    <w:rsid w:val="005F2867"/>
    <w:rsid w:val="00616496"/>
    <w:rsid w:val="00643DB3"/>
    <w:rsid w:val="00654B82"/>
    <w:rsid w:val="00661CEF"/>
    <w:rsid w:val="00667F5B"/>
    <w:rsid w:val="00674D1C"/>
    <w:rsid w:val="00696470"/>
    <w:rsid w:val="00697872"/>
    <w:rsid w:val="006B531E"/>
    <w:rsid w:val="006B6863"/>
    <w:rsid w:val="006C696C"/>
    <w:rsid w:val="006E18E7"/>
    <w:rsid w:val="00707926"/>
    <w:rsid w:val="007233DB"/>
    <w:rsid w:val="00726DE4"/>
    <w:rsid w:val="00727C5F"/>
    <w:rsid w:val="00741226"/>
    <w:rsid w:val="007634B2"/>
    <w:rsid w:val="007764B0"/>
    <w:rsid w:val="007779C0"/>
    <w:rsid w:val="00780EEF"/>
    <w:rsid w:val="00781E78"/>
    <w:rsid w:val="007A7618"/>
    <w:rsid w:val="007B4638"/>
    <w:rsid w:val="007C1133"/>
    <w:rsid w:val="007D2DED"/>
    <w:rsid w:val="007E08A7"/>
    <w:rsid w:val="007F2295"/>
    <w:rsid w:val="008004F8"/>
    <w:rsid w:val="008022AF"/>
    <w:rsid w:val="00802827"/>
    <w:rsid w:val="00802B5F"/>
    <w:rsid w:val="00804B5E"/>
    <w:rsid w:val="00852CFA"/>
    <w:rsid w:val="008651D4"/>
    <w:rsid w:val="00872041"/>
    <w:rsid w:val="008841F5"/>
    <w:rsid w:val="008C6508"/>
    <w:rsid w:val="0091485E"/>
    <w:rsid w:val="009203B1"/>
    <w:rsid w:val="00927C88"/>
    <w:rsid w:val="00932D61"/>
    <w:rsid w:val="00935596"/>
    <w:rsid w:val="00937A66"/>
    <w:rsid w:val="009434AE"/>
    <w:rsid w:val="00967C16"/>
    <w:rsid w:val="009807ED"/>
    <w:rsid w:val="00982349"/>
    <w:rsid w:val="009E0D89"/>
    <w:rsid w:val="009E17F7"/>
    <w:rsid w:val="009E5006"/>
    <w:rsid w:val="00A04CE1"/>
    <w:rsid w:val="00A209EA"/>
    <w:rsid w:val="00A353BD"/>
    <w:rsid w:val="00A37A60"/>
    <w:rsid w:val="00A66F8A"/>
    <w:rsid w:val="00A6733D"/>
    <w:rsid w:val="00A704DE"/>
    <w:rsid w:val="00A75037"/>
    <w:rsid w:val="00A75D84"/>
    <w:rsid w:val="00AB6492"/>
    <w:rsid w:val="00AC07B0"/>
    <w:rsid w:val="00AD051E"/>
    <w:rsid w:val="00AD5310"/>
    <w:rsid w:val="00AE3553"/>
    <w:rsid w:val="00AF1CE0"/>
    <w:rsid w:val="00B00E2B"/>
    <w:rsid w:val="00B06DD2"/>
    <w:rsid w:val="00B31C2F"/>
    <w:rsid w:val="00B32E66"/>
    <w:rsid w:val="00B65DBB"/>
    <w:rsid w:val="00B660BB"/>
    <w:rsid w:val="00B66DD1"/>
    <w:rsid w:val="00B848FD"/>
    <w:rsid w:val="00B90C0C"/>
    <w:rsid w:val="00B90E62"/>
    <w:rsid w:val="00B92C64"/>
    <w:rsid w:val="00B97B01"/>
    <w:rsid w:val="00BA460C"/>
    <w:rsid w:val="00BB450B"/>
    <w:rsid w:val="00BC5D74"/>
    <w:rsid w:val="00BC602F"/>
    <w:rsid w:val="00BD0D86"/>
    <w:rsid w:val="00BE2C8E"/>
    <w:rsid w:val="00BF23FF"/>
    <w:rsid w:val="00BF6C51"/>
    <w:rsid w:val="00C26A5C"/>
    <w:rsid w:val="00C31883"/>
    <w:rsid w:val="00C96FE0"/>
    <w:rsid w:val="00CB339C"/>
    <w:rsid w:val="00CE541D"/>
    <w:rsid w:val="00CE6094"/>
    <w:rsid w:val="00CF76B4"/>
    <w:rsid w:val="00D0018F"/>
    <w:rsid w:val="00D02984"/>
    <w:rsid w:val="00D078DA"/>
    <w:rsid w:val="00D11F50"/>
    <w:rsid w:val="00D21BF2"/>
    <w:rsid w:val="00D26F05"/>
    <w:rsid w:val="00D51755"/>
    <w:rsid w:val="00D77584"/>
    <w:rsid w:val="00D77B5A"/>
    <w:rsid w:val="00D83AE4"/>
    <w:rsid w:val="00DA227A"/>
    <w:rsid w:val="00DA47FA"/>
    <w:rsid w:val="00DA6FE1"/>
    <w:rsid w:val="00DB3348"/>
    <w:rsid w:val="00DC2100"/>
    <w:rsid w:val="00E065CE"/>
    <w:rsid w:val="00E27BB1"/>
    <w:rsid w:val="00E378C0"/>
    <w:rsid w:val="00E37A64"/>
    <w:rsid w:val="00E41AB9"/>
    <w:rsid w:val="00E55898"/>
    <w:rsid w:val="00E60016"/>
    <w:rsid w:val="00E66E9E"/>
    <w:rsid w:val="00E73399"/>
    <w:rsid w:val="00E9521E"/>
    <w:rsid w:val="00EB69BD"/>
    <w:rsid w:val="00EC19CD"/>
    <w:rsid w:val="00EC1F6A"/>
    <w:rsid w:val="00EC77E5"/>
    <w:rsid w:val="00EE4C6E"/>
    <w:rsid w:val="00EF2054"/>
    <w:rsid w:val="00EF6272"/>
    <w:rsid w:val="00F01D0B"/>
    <w:rsid w:val="00F222CD"/>
    <w:rsid w:val="00F23706"/>
    <w:rsid w:val="00F335FB"/>
    <w:rsid w:val="00F6398C"/>
    <w:rsid w:val="00F80911"/>
    <w:rsid w:val="00F84C6A"/>
    <w:rsid w:val="00FA0CFD"/>
    <w:rsid w:val="00FC0E79"/>
    <w:rsid w:val="00FC2F49"/>
    <w:rsid w:val="00FC6C85"/>
    <w:rsid w:val="00FD2F6A"/>
    <w:rsid w:val="00FD65BE"/>
    <w:rsid w:val="00FE131B"/>
    <w:rsid w:val="00FE3B8A"/>
    <w:rsid w:val="00FE5A0E"/>
    <w:rsid w:val="00FF2BE3"/>
    <w:rsid w:val="00FF74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64B784"/>
  <w15:chartTrackingRefBased/>
  <w15:docId w15:val="{A545C735-CA17-4858-B842-3BD4EA51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20E"/>
    <w:pPr>
      <w:tabs>
        <w:tab w:val="center" w:pos="4513"/>
        <w:tab w:val="right" w:pos="9026"/>
      </w:tabs>
    </w:pPr>
  </w:style>
  <w:style w:type="character" w:customStyle="1" w:styleId="HeaderChar">
    <w:name w:val="Header Char"/>
    <w:basedOn w:val="DefaultParagraphFont"/>
    <w:link w:val="Header"/>
    <w:uiPriority w:val="99"/>
    <w:rsid w:val="002E520E"/>
  </w:style>
  <w:style w:type="paragraph" w:styleId="Footer">
    <w:name w:val="footer"/>
    <w:basedOn w:val="Normal"/>
    <w:link w:val="FooterChar"/>
    <w:uiPriority w:val="99"/>
    <w:unhideWhenUsed/>
    <w:rsid w:val="002E520E"/>
    <w:pPr>
      <w:tabs>
        <w:tab w:val="center" w:pos="4513"/>
        <w:tab w:val="right" w:pos="9026"/>
      </w:tabs>
    </w:pPr>
  </w:style>
  <w:style w:type="character" w:customStyle="1" w:styleId="FooterChar">
    <w:name w:val="Footer Char"/>
    <w:basedOn w:val="DefaultParagraphFont"/>
    <w:link w:val="Footer"/>
    <w:uiPriority w:val="99"/>
    <w:rsid w:val="002E520E"/>
  </w:style>
  <w:style w:type="character" w:styleId="PageNumber">
    <w:name w:val="page number"/>
    <w:basedOn w:val="DefaultParagraphFont"/>
    <w:uiPriority w:val="99"/>
    <w:semiHidden/>
    <w:unhideWhenUsed/>
    <w:rsid w:val="002E520E"/>
  </w:style>
  <w:style w:type="paragraph" w:styleId="NoSpacing">
    <w:name w:val="No Spacing"/>
    <w:link w:val="NoSpacingChar"/>
    <w:uiPriority w:val="1"/>
    <w:qFormat/>
    <w:rsid w:val="002E520E"/>
    <w:rPr>
      <w:rFonts w:eastAsiaTheme="minorEastAsia"/>
      <w:sz w:val="22"/>
      <w:szCs w:val="22"/>
      <w:lang w:val="en-US" w:eastAsia="zh-CN"/>
    </w:rPr>
  </w:style>
  <w:style w:type="character" w:customStyle="1" w:styleId="NoSpacingChar">
    <w:name w:val="No Spacing Char"/>
    <w:basedOn w:val="DefaultParagraphFont"/>
    <w:link w:val="NoSpacing"/>
    <w:uiPriority w:val="1"/>
    <w:rsid w:val="002E520E"/>
    <w:rPr>
      <w:rFonts w:eastAsiaTheme="minorEastAsia"/>
      <w:sz w:val="22"/>
      <w:szCs w:val="22"/>
      <w:lang w:val="en-US" w:eastAsia="zh-CN"/>
    </w:rPr>
  </w:style>
  <w:style w:type="paragraph" w:styleId="ListParagraph">
    <w:name w:val="List Paragraph"/>
    <w:basedOn w:val="Normal"/>
    <w:link w:val="ListParagraphChar"/>
    <w:uiPriority w:val="34"/>
    <w:qFormat/>
    <w:rsid w:val="00AC07B0"/>
    <w:pPr>
      <w:spacing w:after="160" w:line="256" w:lineRule="auto"/>
      <w:ind w:left="720"/>
      <w:contextualSpacing/>
    </w:pPr>
    <w:rPr>
      <w:rFonts w:ascii="Calibri" w:eastAsia="Calibri" w:hAnsi="Calibri" w:cs="Times New Roman"/>
      <w:sz w:val="22"/>
      <w:szCs w:val="22"/>
      <w:lang w:val="en-US"/>
    </w:rPr>
  </w:style>
  <w:style w:type="paragraph" w:styleId="BalloonText">
    <w:name w:val="Balloon Text"/>
    <w:basedOn w:val="Normal"/>
    <w:link w:val="BalloonTextChar"/>
    <w:uiPriority w:val="99"/>
    <w:semiHidden/>
    <w:unhideWhenUsed/>
    <w:rsid w:val="00A75D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D84"/>
    <w:rPr>
      <w:rFonts w:ascii="Segoe UI" w:hAnsi="Segoe UI" w:cs="Segoe UI"/>
      <w:sz w:val="18"/>
      <w:szCs w:val="18"/>
    </w:rPr>
  </w:style>
  <w:style w:type="table" w:customStyle="1" w:styleId="1">
    <w:name w:val="Πλέγμα πίνακα1"/>
    <w:basedOn w:val="TableNormal"/>
    <w:next w:val="TableGrid"/>
    <w:uiPriority w:val="39"/>
    <w:rsid w:val="00BB450B"/>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B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Πλέγμα πίνακα2"/>
    <w:basedOn w:val="TableNormal"/>
    <w:next w:val="TableGrid"/>
    <w:uiPriority w:val="39"/>
    <w:rsid w:val="00643DB3"/>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TableNormal"/>
    <w:next w:val="TableGrid"/>
    <w:uiPriority w:val="39"/>
    <w:rsid w:val="00443367"/>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Πλέγμα πίνακα4"/>
    <w:basedOn w:val="TableNormal"/>
    <w:next w:val="TableGrid"/>
    <w:uiPriority w:val="39"/>
    <w:rsid w:val="00090B18"/>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EF2054"/>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E73399"/>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TableNormal"/>
    <w:next w:val="TableGrid"/>
    <w:uiPriority w:val="39"/>
    <w:rsid w:val="009E5006"/>
    <w:rPr>
      <w:rFonts w:eastAsia="SimSun"/>
      <w:sz w:val="22"/>
      <w:szCs w:val="22"/>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67F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67F5B"/>
    <w:pPr>
      <w:spacing w:line="259" w:lineRule="auto"/>
      <w:outlineLvl w:val="9"/>
    </w:pPr>
    <w:rPr>
      <w:lang w:eastAsia="el-GR"/>
    </w:rPr>
  </w:style>
  <w:style w:type="paragraph" w:styleId="TOC1">
    <w:name w:val="toc 1"/>
    <w:basedOn w:val="Normal"/>
    <w:next w:val="Normal"/>
    <w:autoRedefine/>
    <w:uiPriority w:val="39"/>
    <w:unhideWhenUsed/>
    <w:rsid w:val="004F38E6"/>
    <w:pPr>
      <w:tabs>
        <w:tab w:val="left" w:pos="440"/>
        <w:tab w:val="right" w:leader="dot" w:pos="9054"/>
      </w:tabs>
      <w:spacing w:after="100"/>
      <w:jc w:val="both"/>
    </w:pPr>
  </w:style>
  <w:style w:type="character" w:styleId="Hyperlink">
    <w:name w:val="Hyperlink"/>
    <w:basedOn w:val="DefaultParagraphFont"/>
    <w:uiPriority w:val="99"/>
    <w:unhideWhenUsed/>
    <w:rsid w:val="00667F5B"/>
    <w:rPr>
      <w:color w:val="0563C1" w:themeColor="hyperlink"/>
      <w:u w:val="single"/>
    </w:rPr>
  </w:style>
  <w:style w:type="paragraph" w:customStyle="1" w:styleId="10">
    <w:name w:val="επικεφαλίδα 1"/>
    <w:basedOn w:val="Normal"/>
    <w:next w:val="Normal"/>
    <w:link w:val="11"/>
    <w:uiPriority w:val="9"/>
    <w:qFormat/>
    <w:rsid w:val="00B00E2B"/>
    <w:pPr>
      <w:keepNext/>
      <w:keepLines/>
      <w:tabs>
        <w:tab w:val="left" w:pos="9356"/>
      </w:tabs>
      <w:spacing w:before="120" w:after="120" w:line="259" w:lineRule="auto"/>
      <w:jc w:val="both"/>
      <w:outlineLvl w:val="0"/>
    </w:pPr>
    <w:rPr>
      <w:rFonts w:eastAsia="Malgun Gothic" w:cs="Calibri"/>
      <w:b/>
      <w:bCs/>
      <w:smallCaps/>
      <w:color w:val="000000"/>
      <w:lang w:eastAsia="el-GR"/>
    </w:rPr>
  </w:style>
  <w:style w:type="character" w:customStyle="1" w:styleId="11">
    <w:name w:val="Χαρακτήρας επικεφαλίδας 1"/>
    <w:basedOn w:val="DefaultParagraphFont"/>
    <w:link w:val="10"/>
    <w:uiPriority w:val="9"/>
    <w:rsid w:val="00B00E2B"/>
    <w:rPr>
      <w:rFonts w:eastAsia="Malgun Gothic" w:cs="Calibri"/>
      <w:b/>
      <w:bCs/>
      <w:smallCaps/>
      <w:color w:val="000000"/>
      <w:lang w:eastAsia="el-GR"/>
    </w:rPr>
  </w:style>
  <w:style w:type="character" w:customStyle="1" w:styleId="ListParagraphChar">
    <w:name w:val="List Paragraph Char"/>
    <w:basedOn w:val="DefaultParagraphFont"/>
    <w:link w:val="ListParagraph"/>
    <w:uiPriority w:val="34"/>
    <w:rsid w:val="00D51755"/>
    <w:rPr>
      <w:rFonts w:ascii="Calibri" w:eastAsia="Calibri" w:hAnsi="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B099FA0C-3C4E-4DFA-8346-34B0C00EBCE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0566-476B-45BE-BB4D-3283CF6F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3449</Words>
  <Characters>19660</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Kostopoulou Georgia</dc:creator>
  <cp:keywords/>
  <dc:description/>
  <cp:lastModifiedBy>Tsantouka Maria</cp:lastModifiedBy>
  <cp:revision>2</cp:revision>
  <cp:lastPrinted>2020-05-05T14:56:00Z</cp:lastPrinted>
  <dcterms:created xsi:type="dcterms:W3CDTF">2023-09-25T05:36:00Z</dcterms:created>
  <dcterms:modified xsi:type="dcterms:W3CDTF">2023-09-25T05:36:00Z</dcterms:modified>
</cp:coreProperties>
</file>